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6D6C45">
      <w:pPr>
        <w:spacing w:line="360" w:lineRule="auto"/>
        <w:ind w:firstLine="709"/>
        <w:jc w:val="both"/>
        <w:rPr>
          <w:b/>
        </w:rPr>
      </w:pPr>
      <w:bookmarkStart w:id="0" w:name="_GoBack"/>
      <w:bookmarkEnd w:id="0"/>
      <w:r>
        <w:rPr>
          <w:b/>
        </w:rPr>
        <w:t>Примітки</w:t>
      </w:r>
      <w:r>
        <w:rPr>
          <w:b/>
          <w:lang w:val="ru-RU"/>
        </w:rPr>
        <w:t xml:space="preserve"> до </w:t>
      </w:r>
      <w:r>
        <w:rPr>
          <w:b/>
        </w:rPr>
        <w:t>фінансової  звітності ПрАТ «Керампром» за 2011 рік</w:t>
      </w:r>
    </w:p>
    <w:p w:rsidR="00000000" w:rsidRDefault="006D6C45">
      <w:pPr>
        <w:spacing w:line="360" w:lineRule="auto"/>
        <w:ind w:firstLine="709"/>
        <w:jc w:val="both"/>
        <w:rPr>
          <w:b/>
          <w:lang w:val="ru-RU"/>
        </w:rPr>
      </w:pPr>
      <w:bookmarkStart w:id="1" w:name="P"/>
      <w:bookmarkEnd w:id="1"/>
    </w:p>
    <w:p w:rsidR="00000000" w:rsidRDefault="006D6C45">
      <w:pPr>
        <w:spacing w:line="360" w:lineRule="auto"/>
        <w:ind w:firstLine="709"/>
        <w:jc w:val="both"/>
        <w:rPr>
          <w:b/>
          <w:lang w:val="ru-RU"/>
        </w:rPr>
      </w:pPr>
      <w:r>
        <w:rPr>
          <w:b/>
          <w:lang w:val="ru-RU"/>
        </w:rPr>
        <w:t>Баланс форма 1-м</w:t>
      </w:r>
    </w:p>
    <w:p w:rsidR="00000000" w:rsidRDefault="006D6C45">
      <w:pPr>
        <w:spacing w:line="360" w:lineRule="auto"/>
        <w:jc w:val="both"/>
        <w:rPr>
          <w:b/>
        </w:rPr>
      </w:pPr>
      <w:r>
        <w:t xml:space="preserve">Баланс складався на підставі П(С)БО №25  «Фінансовий звіт суб’єкта малого підприємства» затвердженого наказом Міністерства фінансів </w:t>
      </w:r>
      <w:r>
        <w:t>України від 25.02.2000 р. №39. Згідно цього стандарту, у примітках до Балансу за формою № 1-м були розкрити такі статті:</w:t>
      </w:r>
      <w:r>
        <w:rPr>
          <w:lang w:val="ru-RU"/>
        </w:rPr>
        <w:t xml:space="preserve"> </w:t>
      </w:r>
      <w:r>
        <w:rPr>
          <w:b/>
          <w:lang w:val="ru-RU"/>
        </w:rPr>
        <w:t>1</w:t>
      </w:r>
      <w:r>
        <w:rPr>
          <w:lang w:val="ru-RU"/>
        </w:rPr>
        <w:t>.</w:t>
      </w:r>
      <w:r>
        <w:t xml:space="preserve"> </w:t>
      </w:r>
      <w:r>
        <w:rPr>
          <w:b/>
        </w:rPr>
        <w:t>Основні засоби.</w:t>
      </w:r>
      <w:r>
        <w:t xml:space="preserve"> На балансі підприємства у статті "Основні засоби" на </w:t>
      </w:r>
      <w:r>
        <w:rPr>
          <w:b/>
        </w:rPr>
        <w:t>31.12.11</w:t>
      </w:r>
      <w:r>
        <w:t xml:space="preserve"> р. відображені основні засоби  та нематеріальні активи</w:t>
      </w:r>
      <w:r>
        <w:t xml:space="preserve"> первісною вартістю </w:t>
      </w:r>
      <w:r>
        <w:rPr>
          <w:b/>
        </w:rPr>
        <w:t>13 308,0</w:t>
      </w:r>
      <w:r>
        <w:t xml:space="preserve"> тис. грн., залишковою – </w:t>
      </w:r>
      <w:r>
        <w:rPr>
          <w:b/>
        </w:rPr>
        <w:t>10 864,0</w:t>
      </w:r>
      <w:r>
        <w:t xml:space="preserve"> тис. грн. Вони, в свою чергу, класифікуються за групами відповідно вимог НСБО № 7 "Основні засоби" i станом на </w:t>
      </w:r>
      <w:r>
        <w:rPr>
          <w:b/>
        </w:rPr>
        <w:t>31.12.1</w:t>
      </w:r>
      <w:r>
        <w:rPr>
          <w:b/>
          <w:lang w:val="ru-RU"/>
        </w:rPr>
        <w:t>1</w:t>
      </w:r>
      <w:r>
        <w:t xml:space="preserve"> р. мають такий вигляд (тис. грн.): Дані сформовані наступним чином: Група </w:t>
      </w:r>
      <w:r>
        <w:t>основних засобів, первісна вартість, нарахований знос, залишкова вартість</w:t>
      </w:r>
      <w:r>
        <w:rPr>
          <w:lang w:val="ru-RU"/>
        </w:rPr>
        <w:t xml:space="preserve">. </w:t>
      </w:r>
      <w:r>
        <w:t>Земельні</w:t>
      </w:r>
      <w:r>
        <w:rPr>
          <w:lang w:val="ru-RU"/>
        </w:rPr>
        <w:t xml:space="preserve"> делянки </w:t>
      </w:r>
      <w:r>
        <w:rPr>
          <w:b/>
          <w:lang w:val="ru-RU"/>
        </w:rPr>
        <w:t>36,0; 0</w:t>
      </w:r>
      <w:r>
        <w:rPr>
          <w:lang w:val="ru-RU"/>
        </w:rPr>
        <w:t xml:space="preserve">; </w:t>
      </w:r>
      <w:r>
        <w:rPr>
          <w:b/>
          <w:lang w:val="ru-RU"/>
        </w:rPr>
        <w:t>36,0</w:t>
      </w:r>
      <w:r>
        <w:t xml:space="preserve">  Будинки, споруди та передавальні пристрої  </w:t>
      </w:r>
      <w:r>
        <w:rPr>
          <w:b/>
          <w:lang w:val="ru-RU"/>
        </w:rPr>
        <w:t>6 852,0</w:t>
      </w:r>
      <w:r>
        <w:rPr>
          <w:b/>
        </w:rPr>
        <w:t>;</w:t>
      </w:r>
      <w:r>
        <w:rPr>
          <w:b/>
          <w:lang w:val="ru-RU"/>
        </w:rPr>
        <w:t xml:space="preserve"> 841,0; 6 011,0</w:t>
      </w:r>
      <w:r>
        <w:rPr>
          <w:lang w:val="ru-RU"/>
        </w:rPr>
        <w:t>.</w:t>
      </w:r>
      <w:r>
        <w:t xml:space="preserve"> Машини та обладнання </w:t>
      </w:r>
      <w:r>
        <w:rPr>
          <w:b/>
        </w:rPr>
        <w:t>5 083,0; 1 246,0; 3 837,0</w:t>
      </w:r>
      <w:r>
        <w:t xml:space="preserve">.   Транспортні засоби </w:t>
      </w:r>
      <w:r>
        <w:rPr>
          <w:b/>
        </w:rPr>
        <w:t>824,0; 183,0</w:t>
      </w:r>
      <w:r>
        <w:rPr>
          <w:b/>
        </w:rPr>
        <w:t>;</w:t>
      </w:r>
      <w:r>
        <w:rPr>
          <w:b/>
          <w:lang w:val="ru-RU"/>
        </w:rPr>
        <w:t xml:space="preserve"> </w:t>
      </w:r>
      <w:r>
        <w:rPr>
          <w:b/>
        </w:rPr>
        <w:t>641,0</w:t>
      </w:r>
      <w:r>
        <w:t xml:space="preserve">  Інструменти, прилади інвентар (меблі) </w:t>
      </w:r>
      <w:r>
        <w:rPr>
          <w:b/>
        </w:rPr>
        <w:t>119,0; 76,0; 43,0</w:t>
      </w:r>
      <w:r>
        <w:t xml:space="preserve">.   Інші основні засоби </w:t>
      </w:r>
      <w:r>
        <w:rPr>
          <w:b/>
        </w:rPr>
        <w:t>33,0; 6,0; 27,0</w:t>
      </w:r>
      <w:r>
        <w:t xml:space="preserve"> МНМА </w:t>
      </w:r>
      <w:r>
        <w:rPr>
          <w:b/>
        </w:rPr>
        <w:t>37,0; 37,0; 0</w:t>
      </w:r>
      <w:r>
        <w:t xml:space="preserve">. інвентарна тара – </w:t>
      </w:r>
      <w:r>
        <w:rPr>
          <w:b/>
        </w:rPr>
        <w:t>19,0</w:t>
      </w:r>
      <w:r>
        <w:t xml:space="preserve"> ; </w:t>
      </w:r>
      <w:r>
        <w:rPr>
          <w:b/>
        </w:rPr>
        <w:t>1,0; 18,0</w:t>
      </w:r>
      <w:r>
        <w:t xml:space="preserve">  ,  Нематеріальні активи  - Права користування природними ресурсами – </w:t>
      </w:r>
      <w:r>
        <w:rPr>
          <w:b/>
        </w:rPr>
        <w:t>286,0; 48,0; 238,0. -</w:t>
      </w:r>
      <w:r>
        <w:t xml:space="preserve"> Інші </w:t>
      </w:r>
      <w:r>
        <w:t xml:space="preserve">нематеріальні активи </w:t>
      </w:r>
      <w:r>
        <w:rPr>
          <w:b/>
        </w:rPr>
        <w:t>19,0; 12; 7,0</w:t>
      </w:r>
      <w:r>
        <w:t xml:space="preserve"> Р азом основні засоби  : </w:t>
      </w:r>
      <w:r>
        <w:rPr>
          <w:b/>
        </w:rPr>
        <w:t>13 308,0 ; 2 444,0; 10 858,0 .</w:t>
      </w:r>
    </w:p>
    <w:p w:rsidR="00000000" w:rsidRDefault="006D6C45">
      <w:pPr>
        <w:spacing w:line="360" w:lineRule="auto"/>
        <w:jc w:val="both"/>
        <w:rPr>
          <w:b/>
        </w:rPr>
      </w:pPr>
      <w:r>
        <w:rPr>
          <w:b/>
        </w:rPr>
        <w:t>2.</w:t>
      </w:r>
      <w:r>
        <w:t xml:space="preserve"> </w:t>
      </w:r>
      <w:r>
        <w:rPr>
          <w:b/>
        </w:rPr>
        <w:t>Придбані основні засоби</w:t>
      </w:r>
      <w:r>
        <w:t xml:space="preserve"> зараховуються на баланс за їх первісною (історичною) собівартістю. За 2011 рік ПрАТ "Керампром" придбало основні засоби первісною вартістю</w:t>
      </w:r>
      <w:r>
        <w:t xml:space="preserve"> </w:t>
      </w:r>
      <w:r>
        <w:rPr>
          <w:b/>
        </w:rPr>
        <w:t>5</w:t>
      </w:r>
      <w:r>
        <w:rPr>
          <w:b/>
          <w:lang w:val="ru-RU"/>
        </w:rPr>
        <w:t xml:space="preserve"> </w:t>
      </w:r>
      <w:r>
        <w:rPr>
          <w:b/>
        </w:rPr>
        <w:t>933,0</w:t>
      </w:r>
      <w:r>
        <w:t xml:space="preserve"> тис. грн., у тому числі:  - будинки, споруди та передавальні пристрої – </w:t>
      </w:r>
      <w:r>
        <w:rPr>
          <w:b/>
          <w:lang w:val="ru-RU"/>
        </w:rPr>
        <w:t>4 119,0</w:t>
      </w:r>
      <w:r>
        <w:t xml:space="preserve"> тис. грн.;  - машини та обладнання – </w:t>
      </w:r>
      <w:r>
        <w:rPr>
          <w:b/>
          <w:lang w:val="ru-RU"/>
        </w:rPr>
        <w:t>1 381,0</w:t>
      </w:r>
      <w:r>
        <w:t xml:space="preserve"> тис.</w:t>
      </w:r>
      <w:r>
        <w:rPr>
          <w:lang w:val="ru-RU"/>
        </w:rPr>
        <w:t xml:space="preserve"> </w:t>
      </w:r>
      <w:r>
        <w:t xml:space="preserve">грн.; - транспортні засоби – </w:t>
      </w:r>
      <w:r>
        <w:rPr>
          <w:b/>
          <w:lang w:val="ru-RU"/>
        </w:rPr>
        <w:t>351,0</w:t>
      </w:r>
      <w:r>
        <w:t xml:space="preserve"> тис. грн.  - інструменти, прилади, інвентар(меблі) – </w:t>
      </w:r>
      <w:r>
        <w:rPr>
          <w:b/>
        </w:rPr>
        <w:t>25,0</w:t>
      </w:r>
      <w:r>
        <w:t xml:space="preserve"> тис. грн.; - інші основн</w:t>
      </w:r>
      <w:r>
        <w:t xml:space="preserve">і засоби – </w:t>
      </w:r>
      <w:r>
        <w:rPr>
          <w:b/>
        </w:rPr>
        <w:t>27,0</w:t>
      </w:r>
      <w:r>
        <w:t xml:space="preserve"> тис. грн.; - інвентарна тара – </w:t>
      </w:r>
      <w:r>
        <w:rPr>
          <w:b/>
        </w:rPr>
        <w:t>19,0</w:t>
      </w:r>
      <w:r>
        <w:t xml:space="preserve"> тис. грн. - інші необоротні матеріальні активи – </w:t>
      </w:r>
      <w:r>
        <w:rPr>
          <w:b/>
        </w:rPr>
        <w:t>11,0</w:t>
      </w:r>
      <w:r>
        <w:t xml:space="preserve"> тис. грн.   </w:t>
      </w:r>
      <w:r>
        <w:rPr>
          <w:b/>
        </w:rPr>
        <w:t>3.</w:t>
      </w:r>
      <w:r>
        <w:t xml:space="preserve"> Основні засоби відповідно до п.33 НСБО № 7 "Основні засоби" вилучаються з активів у випадку продажу, ліквідації та безоплатної передачі</w:t>
      </w:r>
      <w:r>
        <w:t xml:space="preserve">. За 2011р. вибуло основних засобів первісною вартістю </w:t>
      </w:r>
      <w:r>
        <w:rPr>
          <w:b/>
        </w:rPr>
        <w:t>375,0</w:t>
      </w:r>
      <w:r>
        <w:t xml:space="preserve"> тис. грн. у таких напрямках:  - ліквідовано – </w:t>
      </w:r>
      <w:r>
        <w:rPr>
          <w:b/>
        </w:rPr>
        <w:t>159,0</w:t>
      </w:r>
      <w:r>
        <w:t xml:space="preserve"> тис. грн., а саме це - будинки, споруди та передавальні пристрої – </w:t>
      </w:r>
      <w:r>
        <w:rPr>
          <w:b/>
        </w:rPr>
        <w:t>159,0</w:t>
      </w:r>
      <w:r>
        <w:t xml:space="preserve"> тис. грн., - інші необоротні матеріальні активи – </w:t>
      </w:r>
      <w:r>
        <w:rPr>
          <w:b/>
        </w:rPr>
        <w:t>1,0</w:t>
      </w:r>
      <w:r>
        <w:t xml:space="preserve"> тис.</w:t>
      </w:r>
      <w:r w:rsidRPr="00EE5476">
        <w:t xml:space="preserve"> </w:t>
      </w:r>
      <w:r>
        <w:t>грн. ; реал</w:t>
      </w:r>
      <w:r>
        <w:t xml:space="preserve">ізовано – </w:t>
      </w:r>
      <w:r>
        <w:rPr>
          <w:b/>
        </w:rPr>
        <w:t>215,0</w:t>
      </w:r>
      <w:r>
        <w:t xml:space="preserve"> тис. грн., а саме це - транспортні засоби – </w:t>
      </w:r>
      <w:r>
        <w:rPr>
          <w:b/>
        </w:rPr>
        <w:t>215,0</w:t>
      </w:r>
      <w:r>
        <w:t xml:space="preserve"> тис. грн. </w:t>
      </w:r>
      <w:r>
        <w:rPr>
          <w:b/>
        </w:rPr>
        <w:t xml:space="preserve">4. </w:t>
      </w:r>
      <w:r>
        <w:t>Фінансовий результат від вибуття основних засобів визначається як різниця між доходом від вибуття i їх залишковою вартістю.  У 2011р. підприємство  одержало  прибуток  від реалі</w:t>
      </w:r>
      <w:r>
        <w:t xml:space="preserve">зації – </w:t>
      </w:r>
      <w:r>
        <w:rPr>
          <w:b/>
        </w:rPr>
        <w:t>108,0</w:t>
      </w:r>
      <w:r>
        <w:t xml:space="preserve"> тис. грн. Відображення витрат, пов'язаних з експлуатацією та обслуговуванням основних засобів в бухгалтерському обліку згідно до НСБО 7 "Основні засоби" залежить від того, як вони впливають на майбутні економічні </w:t>
      </w:r>
      <w:r>
        <w:t>вигоди. Витрати на ремонт та обслуговування основних засобів у 20</w:t>
      </w:r>
      <w:r>
        <w:rPr>
          <w:lang w:val="ru-RU"/>
        </w:rPr>
        <w:t>11</w:t>
      </w:r>
      <w:r>
        <w:t xml:space="preserve"> році становлять </w:t>
      </w:r>
      <w:r>
        <w:rPr>
          <w:b/>
          <w:lang w:val="ru-RU"/>
        </w:rPr>
        <w:t>174,0</w:t>
      </w:r>
      <w:r>
        <w:t xml:space="preserve"> тис. грн.</w:t>
      </w:r>
      <w:r>
        <w:rPr>
          <w:lang w:val="ru-RU"/>
        </w:rPr>
        <w:t xml:space="preserve">   </w:t>
      </w:r>
      <w:r>
        <w:t xml:space="preserve"> </w:t>
      </w:r>
      <w:r>
        <w:rPr>
          <w:b/>
          <w:lang w:val="ru-RU"/>
        </w:rPr>
        <w:t>5</w:t>
      </w:r>
      <w:r>
        <w:rPr>
          <w:b/>
        </w:rPr>
        <w:t>. Нарахування амортизації</w:t>
      </w:r>
      <w:r>
        <w:t xml:space="preserve"> на основні засоби здійснюється за виробничим та прямолінійним методом. </w:t>
      </w:r>
      <w:r>
        <w:rPr>
          <w:lang w:val="ru-RU"/>
        </w:rPr>
        <w:t>6.</w:t>
      </w:r>
      <w:r>
        <w:t xml:space="preserve"> Інвентаризація об’єктів основних засобів проводилась</w:t>
      </w:r>
      <w:r>
        <w:t xml:space="preserve"> на підприємстві станом на 1 листопада 20</w:t>
      </w:r>
      <w:r>
        <w:rPr>
          <w:lang w:val="ru-RU"/>
        </w:rPr>
        <w:t>11</w:t>
      </w:r>
      <w:r>
        <w:t>р. (наказ №</w:t>
      </w:r>
      <w:r>
        <w:rPr>
          <w:lang w:val="ru-RU"/>
        </w:rPr>
        <w:t>140</w:t>
      </w:r>
      <w:r>
        <w:t xml:space="preserve"> від </w:t>
      </w:r>
      <w:r>
        <w:rPr>
          <w:lang w:val="ru-RU"/>
        </w:rPr>
        <w:t>31</w:t>
      </w:r>
      <w:r>
        <w:t>.</w:t>
      </w:r>
      <w:r>
        <w:rPr>
          <w:lang w:val="ru-RU"/>
        </w:rPr>
        <w:t>10</w:t>
      </w:r>
      <w:r>
        <w:t>.20</w:t>
      </w:r>
      <w:r>
        <w:rPr>
          <w:lang w:val="ru-RU"/>
        </w:rPr>
        <w:t>11</w:t>
      </w:r>
      <w:r>
        <w:t>р.). Надлишків та нестач основних засобів не виявлено (протокол засідання інвентаризаційної комісії  №</w:t>
      </w:r>
      <w:r>
        <w:rPr>
          <w:lang w:val="ru-RU"/>
        </w:rPr>
        <w:t>1</w:t>
      </w:r>
      <w:r>
        <w:t xml:space="preserve"> від 1</w:t>
      </w:r>
      <w:r>
        <w:rPr>
          <w:lang w:val="ru-RU"/>
        </w:rPr>
        <w:t>4</w:t>
      </w:r>
      <w:r>
        <w:t>.1</w:t>
      </w:r>
      <w:r>
        <w:rPr>
          <w:lang w:val="ru-RU"/>
        </w:rPr>
        <w:t>1</w:t>
      </w:r>
      <w:r>
        <w:t>.201</w:t>
      </w:r>
      <w:r>
        <w:rPr>
          <w:lang w:val="ru-RU"/>
        </w:rPr>
        <w:t>1</w:t>
      </w:r>
      <w:r>
        <w:t>р.)</w:t>
      </w:r>
    </w:p>
    <w:p w:rsidR="00000000" w:rsidRDefault="006D6C45">
      <w:pPr>
        <w:spacing w:line="360" w:lineRule="auto"/>
        <w:jc w:val="both"/>
      </w:pPr>
      <w:r>
        <w:rPr>
          <w:b/>
        </w:rPr>
        <w:t xml:space="preserve"> 6. Малоцінні необоротні матеріальні активи</w:t>
      </w:r>
      <w:r>
        <w:t xml:space="preserve"> У відповідності з </w:t>
      </w:r>
      <w:r>
        <w:t>Наказом об'єкти , терміном використання більше 12 місяців та вартістю менше ніж 1000 грн. відображаються на рахунку 112 "Малоцінні необоротні матеріальні активи". Згідно Наказу про облікову політику амортизація малоцінних необоротних матеріальних активів н</w:t>
      </w:r>
      <w:r>
        <w:t xml:space="preserve">араховується у розмірі </w:t>
      </w:r>
      <w:r>
        <w:rPr>
          <w:lang w:val="ru-RU"/>
        </w:rPr>
        <w:t>10</w:t>
      </w:r>
      <w:r>
        <w:t xml:space="preserve">0% у першому місяці їх </w:t>
      </w:r>
      <w:r>
        <w:lastRenderedPageBreak/>
        <w:t>використання. Первісна вартість МНМА на 31.12.20</w:t>
      </w:r>
      <w:r>
        <w:rPr>
          <w:lang w:val="ru-RU"/>
        </w:rPr>
        <w:t>11</w:t>
      </w:r>
      <w:r>
        <w:t xml:space="preserve">р. становить </w:t>
      </w:r>
      <w:r>
        <w:rPr>
          <w:b/>
        </w:rPr>
        <w:t>37,0</w:t>
      </w:r>
      <w:r>
        <w:t xml:space="preserve"> тис. грн., залишкова вартість - </w:t>
      </w:r>
      <w:r>
        <w:rPr>
          <w:lang w:val="ru-RU"/>
        </w:rPr>
        <w:t>0</w:t>
      </w:r>
      <w:r>
        <w:t xml:space="preserve">,0 тис. грн. </w:t>
      </w:r>
      <w:r>
        <w:rPr>
          <w:b/>
        </w:rPr>
        <w:t>7.</w:t>
      </w:r>
      <w:r>
        <w:t xml:space="preserve"> </w:t>
      </w:r>
      <w:r>
        <w:rPr>
          <w:b/>
        </w:rPr>
        <w:t>Нематеріальні активи.</w:t>
      </w:r>
      <w:r>
        <w:t xml:space="preserve"> Згідно П(С)БО № 8 «Нематеріальні активи»  бухгалтерський облік немате</w:t>
      </w:r>
      <w:r>
        <w:t>ріальних активів ведеться щодо кожного їх об'єкту. Первісна оцінка нематеріальних активів здійснюється за собівартістю їх придбання або створення. Строк використання нематеріальних активів визначається щодо кожного об'єкта в момент зарахування на баланс ви</w:t>
      </w:r>
      <w:r>
        <w:t>ходячи з : - строку корисного використання подібних активів; - передбаченого морального зносу; - правових та інших подібних обмежень по строкам його використання та інших факторів. Амортизація нематеріальних активів нараховується прямолінійним методом. Стр</w:t>
      </w:r>
      <w:r>
        <w:t>ок корисного використання нематеріальних активів до 20 років. Протягом 20</w:t>
      </w:r>
      <w:r>
        <w:rPr>
          <w:lang w:val="ru-RU"/>
        </w:rPr>
        <w:t>11</w:t>
      </w:r>
      <w:r>
        <w:t xml:space="preserve"> року на підприємство надійшли нематеріальні активи первісною вартістю 13,0 тис. грн., а саме – ліцензії – </w:t>
      </w:r>
      <w:r>
        <w:rPr>
          <w:b/>
        </w:rPr>
        <w:t>13,0</w:t>
      </w:r>
      <w:r>
        <w:t xml:space="preserve"> тис.</w:t>
      </w:r>
      <w:r>
        <w:rPr>
          <w:lang w:val="ru-RU"/>
        </w:rPr>
        <w:t xml:space="preserve"> </w:t>
      </w:r>
      <w:r>
        <w:t xml:space="preserve">грн.                        </w:t>
      </w:r>
      <w:r>
        <w:rPr>
          <w:b/>
        </w:rPr>
        <w:t>8. Незавершене будівництво</w:t>
      </w:r>
      <w:r>
        <w:t xml:space="preserve"> Станом на</w:t>
      </w:r>
      <w:r>
        <w:t xml:space="preserve"> 31.12.</w:t>
      </w:r>
      <w:r>
        <w:rPr>
          <w:lang w:val="ru-RU"/>
        </w:rPr>
        <w:t>11</w:t>
      </w:r>
      <w:r>
        <w:t xml:space="preserve"> р. до статті "Незавершене будівництво" включені: - незавершене капітальне будівництво – </w:t>
      </w:r>
      <w:r>
        <w:rPr>
          <w:b/>
          <w:lang w:val="ru-RU"/>
        </w:rPr>
        <w:t>71,0</w:t>
      </w:r>
      <w:r>
        <w:t xml:space="preserve"> тис. грн.(в тому числі  незавершене капітальне будівництво адміністративно-побутової будівлі – </w:t>
      </w:r>
      <w:r>
        <w:rPr>
          <w:b/>
        </w:rPr>
        <w:t>71,0</w:t>
      </w:r>
      <w:r>
        <w:t xml:space="preserve"> тис. грн.)</w:t>
      </w:r>
    </w:p>
    <w:p w:rsidR="00000000" w:rsidRDefault="006D6C45">
      <w:pPr>
        <w:spacing w:line="360" w:lineRule="auto"/>
        <w:jc w:val="both"/>
      </w:pPr>
      <w:r>
        <w:t xml:space="preserve"> </w:t>
      </w:r>
      <w:r>
        <w:rPr>
          <w:b/>
        </w:rPr>
        <w:t>9. Запаси</w:t>
      </w:r>
      <w:r>
        <w:t>. Методологічні засади формуванн</w:t>
      </w:r>
      <w:r>
        <w:t>я інформації про запаси у бухгалтерському обліку товариства визначені НСБО № 9 "Запаси", затвердженим наказом МФУ від 20.10.99р. № 246. Одиницею запасів є кожне найменування цінностей. Порядок обліку та оцінки запасів визначається наказом "Щодо організації</w:t>
      </w:r>
      <w:r>
        <w:t xml:space="preserve"> бухгалтерського обліку та облікової політики у 20</w:t>
      </w:r>
      <w:r>
        <w:rPr>
          <w:lang w:val="ru-RU"/>
        </w:rPr>
        <w:t>11</w:t>
      </w:r>
      <w:r>
        <w:t xml:space="preserve"> році". Оцінка вибуття запасів готової продукції здійснюється в бухгалтерському обліку за методом середньозваженої собівартості. Оцінка вибуття палива в бухгалтерському обліку здійснюється за методом сере</w:t>
      </w:r>
      <w:r>
        <w:t>дньозваженою собівартості. Оцінка запасів (матеріалів, комплектуючих виробів, товарів, малоцінного інвентарю) при відпустці у виробництво чи іншому вибутті здійснюється за методом середньозваженою собівартості   відповідної одиниці запасів. Балансова варті</w:t>
      </w:r>
      <w:r>
        <w:t xml:space="preserve">сть запасів у розрізі окремих класифікаційних груп станом на 31.12.2011р.,тис. грн.: - сировина і матеріали – </w:t>
      </w:r>
      <w:r>
        <w:rPr>
          <w:b/>
        </w:rPr>
        <w:t>15,0</w:t>
      </w:r>
      <w:r>
        <w:t xml:space="preserve">; - паливо </w:t>
      </w:r>
      <w:r>
        <w:rPr>
          <w:b/>
        </w:rPr>
        <w:t>98,0</w:t>
      </w:r>
      <w:r>
        <w:t xml:space="preserve">; - будівельні матеріали – </w:t>
      </w:r>
      <w:r>
        <w:rPr>
          <w:b/>
        </w:rPr>
        <w:t>13,0</w:t>
      </w:r>
      <w:r>
        <w:t>;   - малоцінні та швидкозношувані предмети -</w:t>
      </w:r>
      <w:r>
        <w:rPr>
          <w:b/>
        </w:rPr>
        <w:t>7,0</w:t>
      </w:r>
      <w:r>
        <w:t xml:space="preserve"> незавершене виробництво – </w:t>
      </w:r>
      <w:r>
        <w:rPr>
          <w:b/>
        </w:rPr>
        <w:t>3</w:t>
      </w:r>
      <w:r>
        <w:rPr>
          <w:b/>
          <w:lang w:val="ru-RU"/>
        </w:rPr>
        <w:t xml:space="preserve"> </w:t>
      </w:r>
      <w:r>
        <w:rPr>
          <w:b/>
        </w:rPr>
        <w:t>511,0</w:t>
      </w:r>
      <w:r>
        <w:t xml:space="preserve"> . Разом вироб</w:t>
      </w:r>
      <w:r>
        <w:t xml:space="preserve">ничі запаси: – </w:t>
      </w:r>
      <w:r>
        <w:rPr>
          <w:b/>
        </w:rPr>
        <w:t>3 644,0</w:t>
      </w:r>
      <w:r>
        <w:t xml:space="preserve">.  Готова продукція – </w:t>
      </w:r>
      <w:r>
        <w:rPr>
          <w:b/>
        </w:rPr>
        <w:t>7 032 тис. грн.</w:t>
      </w:r>
      <w:r>
        <w:t xml:space="preserve">, у тому числі ТЗВ 333,0тис. грн..                                                                                                                                   </w:t>
      </w:r>
    </w:p>
    <w:p w:rsidR="00000000" w:rsidRDefault="006D6C45">
      <w:pPr>
        <w:spacing w:line="360" w:lineRule="auto"/>
        <w:jc w:val="both"/>
      </w:pPr>
      <w:r>
        <w:t xml:space="preserve"> Згідно з наказом № 140 від 31.</w:t>
      </w:r>
      <w:r>
        <w:t>10.2011г на підприємстві була проведена інвентаризація товарно-матеріальних цінностей на складі та в експлуатації, готової продукції на складі станом на 01.11.2011 р. У результаті проведення інвентаризації надлишків та нестач  не виявлено (протокол №1 засі</w:t>
      </w:r>
      <w:r>
        <w:t xml:space="preserve">дання  інвентаризаційної комісії від 14.11.2011 р.) </w:t>
      </w:r>
      <w:r>
        <w:rPr>
          <w:b/>
        </w:rPr>
        <w:t>10. Дебіторська заборгованість</w:t>
      </w:r>
      <w:r>
        <w:t>. Методологічні засади формування у бухгалтерському обліку товариства інформації про дебіторську заборгованість та її розкриття визначені НСБО № 10 "Дебіторська заборгованіст</w:t>
      </w:r>
      <w:r>
        <w:t>ь". Поточна "Дебіторська заборгованість за продукцію, товари, роботи та послуги" визнається одночасно з визнанням доходу від реалізації. Момент передачі ризиків й вигод визначається на основі угод поставки продукції, які укладені між підприємством та покуп</w:t>
      </w:r>
      <w:r>
        <w:t>цем.   "Дебіторська заборгованість за товари, роботи та послуги" станом на 31.12.20</w:t>
      </w:r>
      <w:r>
        <w:rPr>
          <w:lang w:val="ru-RU"/>
        </w:rPr>
        <w:t>11</w:t>
      </w:r>
      <w:r>
        <w:t xml:space="preserve"> р. відсутня. Стаття балансу "Дебіторська заборгованість за товари, роботи та послуги" станом на 31.12.20</w:t>
      </w:r>
      <w:r>
        <w:rPr>
          <w:lang w:val="ru-RU"/>
        </w:rPr>
        <w:t>10</w:t>
      </w:r>
      <w:r>
        <w:t xml:space="preserve"> р. станови</w:t>
      </w:r>
      <w:r>
        <w:rPr>
          <w:lang w:val="ru-RU"/>
        </w:rPr>
        <w:t>ла</w:t>
      </w:r>
      <w:r>
        <w:t xml:space="preserve"> </w:t>
      </w:r>
      <w:r>
        <w:rPr>
          <w:b/>
        </w:rPr>
        <w:t>2 328,0</w:t>
      </w:r>
      <w:r>
        <w:t xml:space="preserve"> (первісна вартість) та складалась з заборг</w:t>
      </w:r>
      <w:r>
        <w:t>ованості за</w:t>
      </w:r>
      <w:r>
        <w:rPr>
          <w:lang w:val="ru-RU"/>
        </w:rPr>
        <w:t xml:space="preserve"> </w:t>
      </w:r>
      <w:r>
        <w:t xml:space="preserve">відвантажену готову продукцію зарубіжному покупцеві. Станом на 31.12.2011р. стаття "Дебіторська заборгованість за розрахунками з бюджетом" складається з переплат по: - по податку на додану </w:t>
      </w:r>
      <w:r>
        <w:lastRenderedPageBreak/>
        <w:t xml:space="preserve">вартість – </w:t>
      </w:r>
      <w:r>
        <w:rPr>
          <w:b/>
        </w:rPr>
        <w:t>5244,0</w:t>
      </w:r>
      <w:r>
        <w:t xml:space="preserve"> тис. грн. У статті "Інша поточна дебі</w:t>
      </w:r>
      <w:r>
        <w:t xml:space="preserve">торська заборгованість" відображені суми оборотних активів, які не включені в інші статті розділу балансу " Інша поточна дебіторська заборгованість " – </w:t>
      </w:r>
      <w:r>
        <w:rPr>
          <w:b/>
        </w:rPr>
        <w:t>204,0</w:t>
      </w:r>
      <w:r>
        <w:t xml:space="preserve"> тис. грн., у т.ч. відшкодування завданих збитків  </w:t>
      </w:r>
      <w:r>
        <w:rPr>
          <w:b/>
        </w:rPr>
        <w:t>61,0</w:t>
      </w:r>
      <w:r>
        <w:t xml:space="preserve"> тис. грн.  , дебіторська </w:t>
      </w:r>
      <w:r>
        <w:t xml:space="preserve">заборгованість з виданих авансів постачальникам </w:t>
      </w:r>
      <w:r>
        <w:rPr>
          <w:b/>
        </w:rPr>
        <w:t>125,0</w:t>
      </w:r>
      <w:r>
        <w:t xml:space="preserve"> тис. грн. т.ч. видані аванси найбільшому дебітору складають </w:t>
      </w:r>
      <w:r>
        <w:rPr>
          <w:b/>
        </w:rPr>
        <w:t>62,4</w:t>
      </w:r>
      <w:r>
        <w:t xml:space="preserve"> %, інша дебіторська заборгованість </w:t>
      </w:r>
      <w:r>
        <w:rPr>
          <w:b/>
        </w:rPr>
        <w:t>18,0</w:t>
      </w:r>
      <w:r>
        <w:t xml:space="preserve"> тис. грн. - розрахунки з податків та платежів. </w:t>
      </w:r>
    </w:p>
    <w:p w:rsidR="00000000" w:rsidRDefault="006D6C45">
      <w:pPr>
        <w:spacing w:line="360" w:lineRule="auto"/>
        <w:jc w:val="both"/>
      </w:pPr>
      <w:r>
        <w:rPr>
          <w:b/>
        </w:rPr>
        <w:t>11. Стаття "Витрати майбутніх періодів"</w:t>
      </w:r>
      <w:r>
        <w:t xml:space="preserve"> включає в</w:t>
      </w:r>
      <w:r>
        <w:t xml:space="preserve">итрати, які мають місце на протязі поточного чи попереднього звітних періодів, але відносяться до наступних звітних періодів. Станом на 31.12.2011р. ця стаття становить </w:t>
      </w:r>
      <w:r>
        <w:rPr>
          <w:b/>
        </w:rPr>
        <w:t>715,0</w:t>
      </w:r>
      <w:r>
        <w:t xml:space="preserve"> тис. грн. Підприємством до цієї статі віднесені наступні витрати: - підготовчі ро</w:t>
      </w:r>
      <w:r>
        <w:t xml:space="preserve">боти по видобутку та транспортуванню вогнетривкої глини  - </w:t>
      </w:r>
      <w:r>
        <w:rPr>
          <w:b/>
        </w:rPr>
        <w:t>703,0</w:t>
      </w:r>
      <w:r>
        <w:t xml:space="preserve"> тис. грн. , витрати на придбання періодичних видань – </w:t>
      </w:r>
      <w:r>
        <w:rPr>
          <w:b/>
        </w:rPr>
        <w:t>12,0</w:t>
      </w:r>
      <w:r>
        <w:t xml:space="preserve"> тис. грн.. </w:t>
      </w:r>
    </w:p>
    <w:p w:rsidR="00000000" w:rsidRDefault="006D6C45">
      <w:pPr>
        <w:spacing w:line="360" w:lineRule="auto"/>
        <w:jc w:val="both"/>
      </w:pPr>
      <w:r>
        <w:t xml:space="preserve">    13. </w:t>
      </w:r>
      <w:r>
        <w:rPr>
          <w:b/>
        </w:rPr>
        <w:t>Зобов'язання.</w:t>
      </w:r>
      <w:r>
        <w:t xml:space="preserve"> Методологічні засади формування у бухгалтерському обліку товариства інформації про зобов'язання та</w:t>
      </w:r>
      <w:r>
        <w:t xml:space="preserve"> розкриття її у фінансовій звітності визначені НСБО № 11 "Зобов'язання». Визначення , визнання, порядок оцінки та розкриття інформації щодо зобов'язань регламентуються також НСБО № 1 "Загальні вимоги до фінансової звітності".Зобов'язання визнаються внаслід</w:t>
      </w:r>
      <w:r>
        <w:t>ок минулих подій i мають юридичну силу внаслідок укладених контрактів та статутних вимог. Зобов'язання відображаються у балансі за умови, що його оцінка може бути достовірно визначена та існує ймовірність зменшення економічних вигод у майбутньому внаслідок</w:t>
      </w:r>
      <w:r>
        <w:t xml:space="preserve"> його погашення i оцінюються в балансі за історичною собівартістю (за сумою погашення). Облік зобов'язань ведеться за терміном їх погашення. До складу забезпечень наступних витрат i платежів віднесене забезпечення відновлення земельних ділянок  яке формуєт</w:t>
      </w:r>
      <w:r>
        <w:t xml:space="preserve">ься для покриття витрат на біологічну та гірничо-відновлювальну рекультивацію земельної ділянки, на якій розташовано кар`єр. Станом на 31.12.11 р.  підприємством сформовано забезпечення відновлення земельних ділянок в сумі  </w:t>
      </w:r>
      <w:r>
        <w:rPr>
          <w:b/>
        </w:rPr>
        <w:t>332,0</w:t>
      </w:r>
      <w:r>
        <w:t xml:space="preserve"> тис. грн. До складу поточн</w:t>
      </w:r>
      <w:r>
        <w:t xml:space="preserve">их зобов'язань віднесені зобов'язання, які мають бути погашені протягом року , починаючи з дати балансу.  Станом на 31.12.2011 р. розмір кредиторської заборгованості за товари, роботи, послуги складає </w:t>
      </w:r>
      <w:r>
        <w:rPr>
          <w:b/>
        </w:rPr>
        <w:t>9 524,0</w:t>
      </w:r>
      <w:r>
        <w:t xml:space="preserve"> тис. грн. А саме                       - Кредит</w:t>
      </w:r>
      <w:r>
        <w:t xml:space="preserve">орська заборгованість за товари, роботи, послуги  </w:t>
      </w:r>
      <w:r>
        <w:rPr>
          <w:b/>
        </w:rPr>
        <w:t>531,0</w:t>
      </w:r>
      <w:r>
        <w:t xml:space="preserve"> тис. грн.  Загальна кількість кредиторів – 1, що складає </w:t>
      </w:r>
      <w:r>
        <w:rPr>
          <w:b/>
        </w:rPr>
        <w:t>100</w:t>
      </w:r>
      <w:r>
        <w:t xml:space="preserve"> % .-  Поточні зобов'язання з одержаних авансів від іноземного покупця “</w:t>
      </w:r>
      <w:r>
        <w:rPr>
          <w:lang w:val="en-US"/>
        </w:rPr>
        <w:t>BV WEST</w:t>
      </w:r>
      <w:r>
        <w:t>-</w:t>
      </w:r>
      <w:r>
        <w:rPr>
          <w:lang w:val="en-US"/>
        </w:rPr>
        <w:t>EAST CHEMICAL LTD</w:t>
      </w:r>
      <w:r>
        <w:t xml:space="preserve">” </w:t>
      </w:r>
      <w:r>
        <w:rPr>
          <w:b/>
        </w:rPr>
        <w:t>8 993,0</w:t>
      </w:r>
      <w:r>
        <w:t xml:space="preserve"> тис. грн.. Станом на 31.12.2011р.</w:t>
      </w:r>
      <w:r>
        <w:t xml:space="preserve"> у статі "Поточні зобов'язання за розрахунками з бюджетом" відображені зобов'язання: - по орендній платі за землю </w:t>
      </w:r>
      <w:r>
        <w:rPr>
          <w:b/>
        </w:rPr>
        <w:t>7,0</w:t>
      </w:r>
      <w:r>
        <w:t xml:space="preserve"> тис. грн.; - платі за надра </w:t>
      </w:r>
      <w:r>
        <w:rPr>
          <w:b/>
        </w:rPr>
        <w:t>16,0</w:t>
      </w:r>
      <w:r>
        <w:t xml:space="preserve"> тис.</w:t>
      </w:r>
      <w:r>
        <w:rPr>
          <w:lang w:val="ru-RU"/>
        </w:rPr>
        <w:t xml:space="preserve"> </w:t>
      </w:r>
      <w:r>
        <w:t>грн.; податок на прибуток -</w:t>
      </w:r>
      <w:r>
        <w:rPr>
          <w:b/>
        </w:rPr>
        <w:t>317,0</w:t>
      </w:r>
      <w:r>
        <w:t xml:space="preserve"> тис. грн.; податок на доходи фізичних осіб -</w:t>
      </w:r>
      <w:r>
        <w:rPr>
          <w:b/>
        </w:rPr>
        <w:t>18,0</w:t>
      </w:r>
      <w:r>
        <w:t xml:space="preserve"> тис.</w:t>
      </w:r>
      <w:r>
        <w:rPr>
          <w:lang w:val="ru-RU"/>
        </w:rPr>
        <w:t xml:space="preserve"> </w:t>
      </w:r>
      <w:r>
        <w:t xml:space="preserve">грн.   Разом </w:t>
      </w:r>
      <w:r>
        <w:t xml:space="preserve">– </w:t>
      </w:r>
      <w:r>
        <w:rPr>
          <w:b/>
          <w:lang w:val="ru-RU"/>
        </w:rPr>
        <w:t>358,0</w:t>
      </w:r>
      <w:r>
        <w:t xml:space="preserve"> тис. грн. У статі "Поточні зобов'язання за розрахунками зі страхування" станом на 31.12.2011 р. відображені наступні зобов'язання:  - заборгованість фондам соціального страхування  - </w:t>
      </w:r>
      <w:r>
        <w:rPr>
          <w:b/>
        </w:rPr>
        <w:t>73,0</w:t>
      </w:r>
      <w:r>
        <w:t xml:space="preserve"> тис. грн.  У статті "Поточні зобов'язання за розрахунками з </w:t>
      </w:r>
      <w:r>
        <w:t xml:space="preserve">оплати праці" відображена поточна заборгованість підприємства по оплаті праці за грудень у сумі </w:t>
      </w:r>
      <w:r>
        <w:rPr>
          <w:b/>
        </w:rPr>
        <w:t>156,0</w:t>
      </w:r>
      <w:r>
        <w:t xml:space="preserve"> тис. грн. </w:t>
      </w:r>
    </w:p>
    <w:p w:rsidR="00000000" w:rsidRDefault="006D6C45">
      <w:pPr>
        <w:spacing w:line="360" w:lineRule="auto"/>
        <w:jc w:val="both"/>
      </w:pPr>
      <w:r>
        <w:t>. У статті "Інші поточні зобов'язання" відображені суми оборотних активів, які не включені в інші статті розділу балансу  у сумі</w:t>
      </w:r>
      <w:r>
        <w:rPr>
          <w:b/>
        </w:rPr>
        <w:t xml:space="preserve"> 5,0</w:t>
      </w:r>
      <w:r>
        <w:t xml:space="preserve"> тис. грн. </w:t>
      </w:r>
      <w:r>
        <w:t xml:space="preserve"> </w:t>
      </w:r>
    </w:p>
    <w:p w:rsidR="00000000" w:rsidRDefault="006D6C45">
      <w:pPr>
        <w:spacing w:line="360" w:lineRule="auto"/>
        <w:ind w:firstLine="709"/>
        <w:jc w:val="both"/>
        <w:rPr>
          <w:b/>
          <w:lang w:val="ru-RU"/>
        </w:rPr>
      </w:pPr>
    </w:p>
    <w:p w:rsidR="00000000" w:rsidRDefault="006D6C45">
      <w:pPr>
        <w:spacing w:line="360" w:lineRule="auto"/>
        <w:ind w:firstLine="709"/>
        <w:jc w:val="both"/>
        <w:rPr>
          <w:b/>
          <w:lang w:val="ru-RU"/>
        </w:rPr>
      </w:pPr>
    </w:p>
    <w:p w:rsidR="00000000" w:rsidRDefault="006D6C45">
      <w:pPr>
        <w:spacing w:line="360" w:lineRule="auto"/>
        <w:ind w:firstLine="709"/>
        <w:jc w:val="both"/>
        <w:rPr>
          <w:b/>
          <w:lang w:val="ru-RU"/>
        </w:rPr>
      </w:pPr>
      <w:r>
        <w:rPr>
          <w:b/>
          <w:lang w:val="ru-RU"/>
        </w:rPr>
        <w:lastRenderedPageBreak/>
        <w:t>Форма 2</w:t>
      </w:r>
    </w:p>
    <w:p w:rsidR="00000000" w:rsidRDefault="006D6C45">
      <w:pPr>
        <w:spacing w:line="360" w:lineRule="auto"/>
        <w:ind w:firstLine="709"/>
        <w:jc w:val="both"/>
        <w:rPr>
          <w:b/>
          <w:lang w:val="ru-RU"/>
        </w:rPr>
      </w:pPr>
    </w:p>
    <w:p w:rsidR="00000000" w:rsidRDefault="006D6C45">
      <w:pPr>
        <w:spacing w:line="360" w:lineRule="auto"/>
        <w:ind w:firstLine="709"/>
        <w:jc w:val="both"/>
      </w:pPr>
      <w:r>
        <w:t>Примітки: Звіт про фінансові результати складався на підставі на підставі П(С)БО №25  «Фінансовий звіт суб’єкта малого підприємства» затвердженого наказом Міністерства фінансів України від 25.02.2000 р. №39.  Згідно нього, у примітках до форми</w:t>
      </w:r>
      <w:r>
        <w:t xml:space="preserve">  Звіт про фінансові результати  розкрита така інформація. </w:t>
      </w:r>
      <w:r>
        <w:rPr>
          <w:b/>
        </w:rPr>
        <w:t>Витрати</w:t>
      </w:r>
      <w:r>
        <w:t xml:space="preserve"> Методологічні засади формування у бухгалтерському обліку товариства інформації щодо складу витрат визначені НСБО № 16 "Витрати". Витратами звітного періоду визнаються зменшення активів або </w:t>
      </w:r>
      <w:r>
        <w:t>збільшення зобов'язань, що призводить до зменшення власного капіталу товариства , за умови, що ці витрати можуть бути достовірно оцінені. Витрати визнаються витратами певного періоду одночасно з визнанням доходу, для отримання якого вони здійснені. Витрати</w:t>
      </w:r>
      <w:r>
        <w:t xml:space="preserve">, які неможливо прямо пов'язати з доходом певного періоду відображаються у складі витрат того звітного періоду, в якому вони були понесені. </w:t>
      </w:r>
      <w:r>
        <w:rPr>
          <w:b/>
        </w:rPr>
        <w:t>Склад</w:t>
      </w:r>
      <w:r>
        <w:t xml:space="preserve"> </w:t>
      </w:r>
      <w:r>
        <w:rPr>
          <w:b/>
        </w:rPr>
        <w:t>витрат у 2011 р. (тис. грн.).</w:t>
      </w:r>
      <w:r>
        <w:t xml:space="preserve"> </w:t>
      </w:r>
      <w:r>
        <w:rPr>
          <w:b/>
        </w:rPr>
        <w:t>Собівартість реалізованої продукції</w:t>
      </w:r>
      <w:r>
        <w:t xml:space="preserve"> (товарів, робіт, послуг) – </w:t>
      </w:r>
      <w:r>
        <w:rPr>
          <w:b/>
        </w:rPr>
        <w:t>15 645,0</w:t>
      </w:r>
      <w:r>
        <w:t xml:space="preserve"> тис. грн</w:t>
      </w:r>
      <w:r>
        <w:t xml:space="preserve">. у т.ч. склад витрат – матеріальні витрати -359 тис. грн. ; витрати на оплату праці 437,0 тис. грн.; - витрати на соціальні заходи 156,0 тис. грн., - амортизація -  344,0 тис. грн.;  інші операційні  витрати – 14 319,0 тис. грн.  </w:t>
      </w:r>
      <w:r>
        <w:rPr>
          <w:b/>
        </w:rPr>
        <w:t>Інші операційні витрати с</w:t>
      </w:r>
      <w:r>
        <w:rPr>
          <w:b/>
        </w:rPr>
        <w:t>кладають</w:t>
      </w:r>
      <w:r>
        <w:t xml:space="preserve"> </w:t>
      </w:r>
      <w:r>
        <w:rPr>
          <w:b/>
        </w:rPr>
        <w:t>66 777,0</w:t>
      </w:r>
      <w:r>
        <w:t xml:space="preserve"> тис. грн. у т.ч.: </w:t>
      </w:r>
      <w:r>
        <w:rPr>
          <w:b/>
        </w:rPr>
        <w:t>Адміністративні витрати – 2 615,0 тис. грн.,</w:t>
      </w:r>
      <w:r>
        <w:t xml:space="preserve"> у тому числі : - заробітна платня – </w:t>
      </w:r>
      <w:r>
        <w:rPr>
          <w:b/>
        </w:rPr>
        <w:t>1 637,0</w:t>
      </w:r>
      <w:r>
        <w:t xml:space="preserve"> тис. грн. ; - обов’язкові нарахування на соціальне та пенсійне страхування на заробітну платню – </w:t>
      </w:r>
      <w:r>
        <w:rPr>
          <w:b/>
        </w:rPr>
        <w:t>482,0</w:t>
      </w:r>
      <w:r>
        <w:t xml:space="preserve"> тис. грн.; - оплата розрахун</w:t>
      </w:r>
      <w:r>
        <w:t>кових та касових послуг банків – 157,0 тис. грн.; - амортизація – 78,0 тис. грн.; -   бензин, ГСМ – 91,0 тис. грн.; - витрати на охорону праці – 2,0 тис. грн.; - аудиторські послуги - 37,0 тис. грн.; - юридичні послуги – 3,0 тис. грн., послуги з обслуговув</w:t>
      </w:r>
      <w:r>
        <w:t xml:space="preserve">ання оргтехніки – 2,0 тис. грн.; - послуги Інтернет та  зв’язку 15,0 тис. грн.; - інформаційне обслуговування - 4,0 тис. грн.;   - витрати на  участь у семінарах – 2,0 тис. грн.; - витрати на відрядження – 5,0 тис. грн.;  - передплата періодичних видань - </w:t>
      </w:r>
      <w:r>
        <w:t>10,0 тис. грн. - техобслуговування легкових авто – 17,0 тис. грн.;- страховка легкових авто – 2,0 тис. грн., послуги медичної сестри 9,0 тис. грн.;  - пата за стоянку легкових авто 9,0 тис. грн.; - послуги нотаріуса - 9,0 тис. грн.; - плата за навчання  пе</w:t>
      </w:r>
      <w:r>
        <w:t xml:space="preserve">рсоналу - 13,0 тис. грн. , придбання канц. товарів – 12 тис. грн., придбання господарських  товарів – 8,0 тис. грн..  інші - 11,0 тис. грн..  </w:t>
      </w:r>
      <w:r>
        <w:rPr>
          <w:b/>
        </w:rPr>
        <w:t>Витрати на збут – 20 390,0тис. грн.,</w:t>
      </w:r>
      <w:r>
        <w:t xml:space="preserve"> у тому числі : - заробітна платня -  </w:t>
      </w:r>
      <w:r>
        <w:rPr>
          <w:b/>
        </w:rPr>
        <w:t>679,0</w:t>
      </w:r>
      <w:r>
        <w:t xml:space="preserve"> тис. грн.</w:t>
      </w:r>
      <w:r w:rsidRPr="00EE5476">
        <w:t>;</w:t>
      </w:r>
      <w:r>
        <w:t xml:space="preserve"> - обов’язкові нарахуван</w:t>
      </w:r>
      <w:r>
        <w:t xml:space="preserve">ня на соціальне та пенсійне страхування на заробітну платню – </w:t>
      </w:r>
      <w:r>
        <w:rPr>
          <w:b/>
        </w:rPr>
        <w:t>275,0</w:t>
      </w:r>
      <w:r>
        <w:t xml:space="preserve"> тис. грн. - амортизація – </w:t>
      </w:r>
      <w:r>
        <w:rPr>
          <w:b/>
        </w:rPr>
        <w:t>429,0</w:t>
      </w:r>
      <w:r>
        <w:t xml:space="preserve"> тис. грн. – послуги сторонніх організацій з транспортування продукції покупцеві - </w:t>
      </w:r>
      <w:r>
        <w:rPr>
          <w:b/>
        </w:rPr>
        <w:t>18 072</w:t>
      </w:r>
      <w:r>
        <w:t>,</w:t>
      </w:r>
      <w:r>
        <w:rPr>
          <w:b/>
        </w:rPr>
        <w:t>0</w:t>
      </w:r>
      <w:r>
        <w:t xml:space="preserve"> тис. грн. </w:t>
      </w:r>
      <w:r w:rsidRPr="00EE5476">
        <w:t>(</w:t>
      </w:r>
      <w:r>
        <w:t xml:space="preserve">послуги Укр. залізниці </w:t>
      </w:r>
      <w:r w:rsidRPr="00EE5476">
        <w:t>7</w:t>
      </w:r>
      <w:r>
        <w:rPr>
          <w:lang w:val="ru-RU"/>
        </w:rPr>
        <w:t> </w:t>
      </w:r>
      <w:r w:rsidRPr="00EE5476">
        <w:t>185 ,0</w:t>
      </w:r>
      <w:r>
        <w:t xml:space="preserve"> тис. грн.; - послуги П</w:t>
      </w:r>
      <w:r>
        <w:t xml:space="preserve">рАТ «Транспорт» (відвантаження, зберігання)- </w:t>
      </w:r>
      <w:r w:rsidRPr="00EE5476">
        <w:t>1</w:t>
      </w:r>
      <w:r>
        <w:rPr>
          <w:lang w:val="ru-RU"/>
        </w:rPr>
        <w:t> </w:t>
      </w:r>
      <w:r w:rsidRPr="00EE5476">
        <w:t>679,0</w:t>
      </w:r>
      <w:r>
        <w:t xml:space="preserve"> тис. грн.,  послуги транспортного експедування – 9 208,0 тис. грн.</w:t>
      </w:r>
      <w:r w:rsidRPr="00EE5476">
        <w:t xml:space="preserve">); </w:t>
      </w:r>
      <w:r>
        <w:t xml:space="preserve"> - ремонт автотракторної техніки -  </w:t>
      </w:r>
      <w:r>
        <w:rPr>
          <w:b/>
        </w:rPr>
        <w:t>67,0</w:t>
      </w:r>
      <w:r>
        <w:t xml:space="preserve"> тис. грн.,  електрична енергія  – </w:t>
      </w:r>
      <w:r>
        <w:rPr>
          <w:b/>
        </w:rPr>
        <w:t>11,0</w:t>
      </w:r>
      <w:r>
        <w:t xml:space="preserve"> тис. грн.., бензин. ГСМ – </w:t>
      </w:r>
      <w:r>
        <w:rPr>
          <w:b/>
        </w:rPr>
        <w:t>602,0</w:t>
      </w:r>
      <w:r>
        <w:t xml:space="preserve"> </w:t>
      </w:r>
      <w:r>
        <w:t xml:space="preserve">тис. грн.;- пакувальні матеріали – </w:t>
      </w:r>
      <w:r>
        <w:rPr>
          <w:b/>
        </w:rPr>
        <w:t>52,0</w:t>
      </w:r>
      <w:r>
        <w:t xml:space="preserve"> тис. грн.;  -  доставка проб продукції  покупцеві - </w:t>
      </w:r>
      <w:r>
        <w:rPr>
          <w:b/>
        </w:rPr>
        <w:t>3,0</w:t>
      </w:r>
      <w:r>
        <w:t xml:space="preserve"> тис. грн., послуги з обслуговування автомобільних ваг - </w:t>
      </w:r>
      <w:r>
        <w:rPr>
          <w:b/>
        </w:rPr>
        <w:t>16,0</w:t>
      </w:r>
      <w:r>
        <w:t xml:space="preserve"> тис. грн.. податок на землю </w:t>
      </w:r>
      <w:r>
        <w:rPr>
          <w:b/>
        </w:rPr>
        <w:t>63,0</w:t>
      </w:r>
      <w:r>
        <w:t xml:space="preserve"> тис. грн., придбання канцтоварів і господарських </w:t>
      </w:r>
      <w:r>
        <w:rPr>
          <w:lang w:val="ru-RU"/>
        </w:rPr>
        <w:t xml:space="preserve"> </w:t>
      </w:r>
      <w:r>
        <w:t xml:space="preserve">товарів -  </w:t>
      </w:r>
      <w:r>
        <w:rPr>
          <w:b/>
        </w:rPr>
        <w:t xml:space="preserve">11,0 </w:t>
      </w:r>
      <w:r>
        <w:t xml:space="preserve">тис. грн. ; охорона праці -  </w:t>
      </w:r>
      <w:r>
        <w:rPr>
          <w:b/>
        </w:rPr>
        <w:t>40,0</w:t>
      </w:r>
      <w:r>
        <w:t xml:space="preserve"> тис. грн., плата найманим особам  за прибирання вагонів -  </w:t>
      </w:r>
      <w:r>
        <w:rPr>
          <w:b/>
        </w:rPr>
        <w:t>60,0</w:t>
      </w:r>
      <w:r>
        <w:t xml:space="preserve"> тис. грн. , інші – </w:t>
      </w:r>
      <w:r>
        <w:rPr>
          <w:b/>
        </w:rPr>
        <w:t>10,0</w:t>
      </w:r>
      <w:r>
        <w:t xml:space="preserve"> тис. грн.      </w:t>
      </w:r>
      <w:r>
        <w:rPr>
          <w:b/>
        </w:rPr>
        <w:t>Інші операційні витрати</w:t>
      </w:r>
      <w:r>
        <w:t xml:space="preserve"> – </w:t>
      </w:r>
      <w:r w:rsidRPr="00EE5476">
        <w:rPr>
          <w:b/>
        </w:rPr>
        <w:t>43</w:t>
      </w:r>
      <w:r>
        <w:rPr>
          <w:b/>
          <w:lang w:val="ru-RU"/>
        </w:rPr>
        <w:t> </w:t>
      </w:r>
      <w:r w:rsidRPr="00EE5476">
        <w:rPr>
          <w:b/>
        </w:rPr>
        <w:t>802,0</w:t>
      </w:r>
      <w:r w:rsidRPr="00EE5476">
        <w:t xml:space="preserve"> тис.</w:t>
      </w:r>
      <w:r>
        <w:t>грн. , у тому числі  - операційна курсова різниця -</w:t>
      </w:r>
      <w:r w:rsidRPr="00EE5476">
        <w:rPr>
          <w:b/>
        </w:rPr>
        <w:t>21,0</w:t>
      </w:r>
      <w:r w:rsidRPr="00EE5476">
        <w:t xml:space="preserve"> тис. </w:t>
      </w:r>
      <w:r>
        <w:t>грн.</w:t>
      </w:r>
      <w:r w:rsidRPr="00EE5476">
        <w:t>;</w:t>
      </w:r>
      <w:r>
        <w:t xml:space="preserve"> - собівартіст</w:t>
      </w:r>
      <w:r>
        <w:t xml:space="preserve">ь реалізованої іноземної валюти -   </w:t>
      </w:r>
      <w:r>
        <w:rPr>
          <w:b/>
        </w:rPr>
        <w:t>43 167,0</w:t>
      </w:r>
      <w:r>
        <w:t xml:space="preserve"> тис. грн.; надання спонсорської допомоги - </w:t>
      </w:r>
      <w:r>
        <w:rPr>
          <w:b/>
        </w:rPr>
        <w:t>26,0</w:t>
      </w:r>
      <w:r>
        <w:t xml:space="preserve"> тис. грн.;  - соціальні виплати - </w:t>
      </w:r>
      <w:r>
        <w:rPr>
          <w:b/>
        </w:rPr>
        <w:t>11,0</w:t>
      </w:r>
      <w:r>
        <w:t xml:space="preserve"> тис. грн. ;– оплата проїзду робітників </w:t>
      </w:r>
      <w:r>
        <w:rPr>
          <w:b/>
        </w:rPr>
        <w:lastRenderedPageBreak/>
        <w:t>6,0</w:t>
      </w:r>
      <w:r>
        <w:t>, тис. грн.; - оплата за мешкання робітників у гуртожитку –</w:t>
      </w:r>
      <w:r>
        <w:rPr>
          <w:b/>
        </w:rPr>
        <w:t xml:space="preserve"> 17,0</w:t>
      </w:r>
      <w:r>
        <w:t>;</w:t>
      </w:r>
      <w:r w:rsidRPr="00EE5476">
        <w:t xml:space="preserve"> </w:t>
      </w:r>
      <w:r>
        <w:t xml:space="preserve">- послуги спорт </w:t>
      </w:r>
      <w:r>
        <w:t xml:space="preserve">комплексу - </w:t>
      </w:r>
      <w:r>
        <w:rPr>
          <w:b/>
        </w:rPr>
        <w:t>6,0</w:t>
      </w:r>
      <w:r>
        <w:t xml:space="preserve"> тис. грн., </w:t>
      </w:r>
      <w:r w:rsidRPr="00EE5476">
        <w:t>-</w:t>
      </w:r>
      <w:r>
        <w:t xml:space="preserve"> втрати готової продукції за рахунок природного убутку </w:t>
      </w:r>
      <w:r>
        <w:rPr>
          <w:b/>
        </w:rPr>
        <w:t>238,0</w:t>
      </w:r>
      <w:r>
        <w:t xml:space="preserve"> тис. грн., прибирання доріг району від снігу </w:t>
      </w:r>
      <w:r>
        <w:rPr>
          <w:b/>
        </w:rPr>
        <w:t>67,0</w:t>
      </w:r>
      <w:r>
        <w:t xml:space="preserve"> тис. грн., </w:t>
      </w:r>
      <w:r w:rsidRPr="00EE5476">
        <w:t xml:space="preserve">- </w:t>
      </w:r>
      <w:r>
        <w:t xml:space="preserve">списання  біологічних активів </w:t>
      </w:r>
      <w:r>
        <w:rPr>
          <w:b/>
        </w:rPr>
        <w:t>30,0</w:t>
      </w:r>
      <w:r>
        <w:t xml:space="preserve"> тис. грн., собівартість реалізованих основних засобів </w:t>
      </w:r>
      <w:r>
        <w:rPr>
          <w:b/>
        </w:rPr>
        <w:t>44,0</w:t>
      </w:r>
      <w:r>
        <w:t xml:space="preserve"> тис. грн.</w:t>
      </w:r>
      <w:r w:rsidRPr="00EE5476">
        <w:t>;</w:t>
      </w:r>
      <w:r w:rsidRPr="00EE5476">
        <w:t xml:space="preserve"> -</w:t>
      </w:r>
      <w:r>
        <w:t xml:space="preserve">  витрати на біологічну рекультивацію відпрацьованого кар’єру -  </w:t>
      </w:r>
      <w:r>
        <w:rPr>
          <w:b/>
        </w:rPr>
        <w:t>9,0</w:t>
      </w:r>
      <w:r>
        <w:t xml:space="preserve"> тис. грн., </w:t>
      </w:r>
      <w:r w:rsidRPr="00EE5476">
        <w:t xml:space="preserve">- </w:t>
      </w:r>
      <w:r>
        <w:t xml:space="preserve">проект організації дорожнього руху – </w:t>
      </w:r>
      <w:r>
        <w:rPr>
          <w:b/>
        </w:rPr>
        <w:t>11,0</w:t>
      </w:r>
      <w:r>
        <w:t xml:space="preserve"> тис. грн.,  ПДВ (невизнаний податковий кредит)- </w:t>
      </w:r>
      <w:r>
        <w:rPr>
          <w:b/>
        </w:rPr>
        <w:t>52,0</w:t>
      </w:r>
      <w:r>
        <w:t xml:space="preserve"> тис. грн.., штрафи </w:t>
      </w:r>
      <w:r>
        <w:rPr>
          <w:b/>
        </w:rPr>
        <w:t>62,0</w:t>
      </w:r>
      <w:r>
        <w:t xml:space="preserve"> тис. грн.. у т.ч. : - Укрзалізниця за невиконання пла</w:t>
      </w:r>
      <w:r>
        <w:t xml:space="preserve">ну перевезень - 20,0 тис. грн., штраф з ПДВ - 42,0 тис. грн.., інші - 5,0 тис. грн..  </w:t>
      </w:r>
      <w:r>
        <w:rPr>
          <w:b/>
        </w:rPr>
        <w:t>Інші витрати – 7,0 тис. грн.</w:t>
      </w:r>
      <w:r>
        <w:t xml:space="preserve">  Калькулювання собівартості продукції засновано на використанні Методичних рекомендацій з формування собівартості продукції (робіт, послуг) у</w:t>
      </w:r>
      <w:r>
        <w:t xml:space="preserve"> промисловості, стверджених Наказом Державного комітету промислової політики України №47 від 02.02.2001р. </w:t>
      </w:r>
      <w:r>
        <w:rPr>
          <w:b/>
        </w:rPr>
        <w:t>Доходи.</w:t>
      </w:r>
      <w:r>
        <w:t xml:space="preserve"> Доходи  від господарської діяльності визнаються згідно НСБО №15 "Доходи" та класифікуються в бухгалтерському обліку i фінансовій звітності а в</w:t>
      </w:r>
      <w:r>
        <w:t>идами діяльності.  Це дає можливість визнавати доход, ураховуючи особливість i сутність кожної операції, i забезпечує підставу для подальшого аналізу діяльності підприємства i контролю за нею, для прийняття управлінських рішень. Склад найбільш суттєвих ста</w:t>
      </w:r>
      <w:r>
        <w:t xml:space="preserve">тей доходів у 2011  році мав такий вигляд(тис. грн.) : Доход від реалізації  товарів (робіт, послуг) – </w:t>
      </w:r>
      <w:r w:rsidRPr="00EE5476">
        <w:rPr>
          <w:b/>
        </w:rPr>
        <w:t>38</w:t>
      </w:r>
      <w:r>
        <w:rPr>
          <w:b/>
          <w:lang w:val="ru-RU"/>
        </w:rPr>
        <w:t> </w:t>
      </w:r>
      <w:r w:rsidRPr="00EE5476">
        <w:rPr>
          <w:b/>
        </w:rPr>
        <w:t>516,0</w:t>
      </w:r>
      <w:r w:rsidRPr="00EE5476">
        <w:t xml:space="preserve">  тис. </w:t>
      </w:r>
      <w:r>
        <w:t xml:space="preserve">грн. </w:t>
      </w:r>
      <w:r w:rsidRPr="00EE5476">
        <w:t xml:space="preserve"> </w:t>
      </w:r>
      <w:r>
        <w:t>, у т.ч. - вiд реалізації глини – 38 516,0  тис. грн.. Доход (виручка) вiд реалізації продукції (товарів, робіт, послуг) та інших ак</w:t>
      </w:r>
      <w:r>
        <w:t xml:space="preserve">тивів визнається у разі наявності всіх наведених нижче умов (П(С)БО 15) : - покупцеві передані суттєві ризики i вигоди, пов’язані   з правом власності на товар ( продукцiю, актив); - підприємство не здійснює подальше управляння та контроль за реалізованим </w:t>
      </w:r>
      <w:r>
        <w:t xml:space="preserve">товарами (активами); - сума доходу(виручки) може бути достовірно визначена ; - є впевненість, що в результаті операції відбудеться збільшення економічних вигод підприємства ; - витрати , пов'язані із цією операцію можуть бути достовірно визначені. </w:t>
      </w:r>
      <w:r>
        <w:rPr>
          <w:b/>
        </w:rPr>
        <w:t>Інші опе</w:t>
      </w:r>
      <w:r>
        <w:rPr>
          <w:b/>
        </w:rPr>
        <w:t>раційні доходи</w:t>
      </w:r>
      <w:r>
        <w:t xml:space="preserve"> – </w:t>
      </w:r>
      <w:r>
        <w:rPr>
          <w:b/>
        </w:rPr>
        <w:t>43 440</w:t>
      </w:r>
      <w:r>
        <w:t xml:space="preserve">  тис. грн., у тому числі - дохід від операційної курсової різниці по операціям з іноземною валютою - 15,0 тис. грн.. - дохід від реалізації іноземної валюти – </w:t>
      </w:r>
      <w:r>
        <w:rPr>
          <w:b/>
        </w:rPr>
        <w:t>43 266,0</w:t>
      </w:r>
      <w:r>
        <w:t xml:space="preserve">  тис. грн. .- дохід від реалізації інших необоротних активів - 1</w:t>
      </w:r>
      <w:r>
        <w:t xml:space="preserve">27,0 тис. грн., -    інші фінансові доходи – </w:t>
      </w:r>
      <w:r>
        <w:rPr>
          <w:b/>
        </w:rPr>
        <w:t>32,0</w:t>
      </w:r>
      <w:r>
        <w:t xml:space="preserve"> тис. грн. (отримані відсотки по депозиту). </w:t>
      </w:r>
      <w:r>
        <w:rPr>
          <w:b/>
        </w:rPr>
        <w:t>Інші доходи</w:t>
      </w:r>
      <w:r>
        <w:t xml:space="preserve"> </w:t>
      </w:r>
      <w:r>
        <w:rPr>
          <w:lang w:val="ru-RU"/>
        </w:rPr>
        <w:t xml:space="preserve">- </w:t>
      </w:r>
      <w:r>
        <w:rPr>
          <w:b/>
        </w:rPr>
        <w:t>7,0</w:t>
      </w:r>
      <w:r>
        <w:t xml:space="preserve"> тис. грн.  </w:t>
      </w:r>
      <w:r>
        <w:rPr>
          <w:b/>
        </w:rPr>
        <w:t>Податок на прибуток</w:t>
      </w:r>
      <w:r>
        <w:t xml:space="preserve"> -  </w:t>
      </w:r>
      <w:r>
        <w:rPr>
          <w:b/>
        </w:rPr>
        <w:t>1762,0</w:t>
      </w:r>
      <w:r>
        <w:t xml:space="preserve"> тис. грн.</w:t>
      </w:r>
      <w:r>
        <w:rPr>
          <w:lang w:val="ru-RU"/>
        </w:rPr>
        <w:t xml:space="preserve"> Подкаток на </w:t>
      </w:r>
      <w:r>
        <w:t>прибуток обчислено</w:t>
      </w:r>
      <w:r>
        <w:rPr>
          <w:lang w:val="ru-RU"/>
        </w:rPr>
        <w:t xml:space="preserve"> за правилами налогового</w:t>
      </w:r>
      <w:r>
        <w:t xml:space="preserve"> обліку</w:t>
      </w:r>
      <w:r>
        <w:rPr>
          <w:lang w:val="ru-RU"/>
        </w:rPr>
        <w:t xml:space="preserve">. </w:t>
      </w:r>
      <w:r>
        <w:t xml:space="preserve"> </w:t>
      </w:r>
      <w:r>
        <w:t xml:space="preserve">Чистий збиток визначений як алгебраїчна сума доходів, витрат i податку на прибуток  складає у 2011  році </w:t>
      </w:r>
      <w:r>
        <w:rPr>
          <w:b/>
        </w:rPr>
        <w:t>2 228,0</w:t>
      </w:r>
      <w:r>
        <w:t xml:space="preserve">  тис. грн.</w:t>
      </w:r>
    </w:p>
    <w:p w:rsidR="00000000" w:rsidRDefault="006D6C45">
      <w:pPr>
        <w:spacing w:line="360" w:lineRule="auto"/>
        <w:ind w:firstLine="709"/>
        <w:jc w:val="both"/>
      </w:pPr>
    </w:p>
    <w:p w:rsidR="00000000" w:rsidRDefault="006D6C45">
      <w:pPr>
        <w:spacing w:line="360" w:lineRule="auto"/>
        <w:ind w:firstLine="709"/>
        <w:jc w:val="both"/>
      </w:pPr>
    </w:p>
    <w:p w:rsidR="00000000" w:rsidRDefault="006D6C45">
      <w:pPr>
        <w:spacing w:line="360" w:lineRule="auto"/>
        <w:jc w:val="both"/>
      </w:pPr>
    </w:p>
    <w:p w:rsidR="00000000" w:rsidRDefault="006D6C45">
      <w:pPr>
        <w:spacing w:line="360" w:lineRule="auto"/>
        <w:ind w:firstLine="709"/>
        <w:jc w:val="both"/>
      </w:pPr>
    </w:p>
    <w:p w:rsidR="00000000" w:rsidRDefault="006D6C45">
      <w:pPr>
        <w:spacing w:line="360" w:lineRule="auto"/>
        <w:ind w:firstLine="708"/>
        <w:jc w:val="both"/>
      </w:pPr>
      <w:r>
        <w:t>Генеральний директор    _______________________ Вадим Анатолійович Опелендер</w:t>
      </w:r>
    </w:p>
    <w:p w:rsidR="00000000" w:rsidRDefault="006D6C45">
      <w:pPr>
        <w:spacing w:line="360" w:lineRule="auto"/>
        <w:ind w:firstLine="708"/>
        <w:jc w:val="both"/>
      </w:pPr>
    </w:p>
    <w:p w:rsidR="00000000" w:rsidRDefault="006D6C45">
      <w:pPr>
        <w:spacing w:line="360" w:lineRule="auto"/>
        <w:ind w:firstLine="708"/>
        <w:jc w:val="both"/>
      </w:pPr>
      <w:r>
        <w:t xml:space="preserve">Головний бухгалтер        _______________________ </w:t>
      </w:r>
      <w:r>
        <w:t xml:space="preserve"> Наталя Миколаївна Отдєлєнцева</w:t>
      </w:r>
    </w:p>
    <w:p w:rsidR="00000000" w:rsidRDefault="006D6C45">
      <w:pPr>
        <w:spacing w:line="360" w:lineRule="auto"/>
        <w:rPr>
          <w:sz w:val="28"/>
          <w:szCs w:val="28"/>
        </w:rPr>
      </w:pPr>
    </w:p>
    <w:p w:rsidR="00000000" w:rsidRDefault="006D6C45">
      <w:pPr>
        <w:spacing w:line="360" w:lineRule="auto"/>
        <w:rPr>
          <w:color w:val="800080"/>
          <w:sz w:val="28"/>
          <w:szCs w:val="28"/>
        </w:rPr>
      </w:pPr>
    </w:p>
    <w:p w:rsidR="00000000" w:rsidRDefault="006D6C45">
      <w:pPr>
        <w:spacing w:line="360" w:lineRule="auto"/>
        <w:rPr>
          <w:color w:val="800080"/>
          <w:sz w:val="28"/>
          <w:szCs w:val="28"/>
        </w:rPr>
      </w:pPr>
    </w:p>
    <w:p w:rsidR="00000000" w:rsidRDefault="006D6C45">
      <w:pPr>
        <w:spacing w:line="360" w:lineRule="auto"/>
        <w:rPr>
          <w:color w:val="800080"/>
          <w:sz w:val="28"/>
          <w:szCs w:val="28"/>
        </w:rPr>
      </w:pPr>
    </w:p>
    <w:p w:rsidR="00000000" w:rsidRDefault="006D6C45">
      <w:pPr>
        <w:spacing w:line="360" w:lineRule="auto"/>
        <w:rPr>
          <w:color w:val="800080"/>
          <w:sz w:val="28"/>
          <w:szCs w:val="28"/>
        </w:rPr>
      </w:pPr>
    </w:p>
    <w:p w:rsidR="00000000" w:rsidRDefault="006D6C45">
      <w:pPr>
        <w:spacing w:line="360" w:lineRule="auto"/>
        <w:rPr>
          <w:color w:val="800080"/>
          <w:sz w:val="28"/>
          <w:szCs w:val="28"/>
        </w:rPr>
      </w:pPr>
    </w:p>
    <w:p w:rsidR="00000000" w:rsidRDefault="006D6C45">
      <w:pPr>
        <w:spacing w:line="360" w:lineRule="auto"/>
        <w:rPr>
          <w:color w:val="800080"/>
          <w:sz w:val="28"/>
          <w:szCs w:val="28"/>
          <w:lang w:val="ru-RU"/>
        </w:rPr>
      </w:pPr>
    </w:p>
    <w:p w:rsidR="00000000" w:rsidRDefault="006D6C45">
      <w:pPr>
        <w:spacing w:line="360" w:lineRule="auto"/>
        <w:rPr>
          <w:color w:val="800080"/>
          <w:sz w:val="28"/>
          <w:szCs w:val="28"/>
        </w:rPr>
      </w:pPr>
    </w:p>
    <w:p w:rsidR="006D6C45" w:rsidRDefault="006D6C45">
      <w:pPr>
        <w:spacing w:line="360" w:lineRule="auto"/>
        <w:rPr>
          <w:sz w:val="28"/>
          <w:szCs w:val="28"/>
        </w:rPr>
      </w:pPr>
    </w:p>
    <w:sectPr w:rsidR="006D6C45">
      <w:pgSz w:w="11906" w:h="16838"/>
      <w:pgMar w:top="284" w:right="567" w:bottom="3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>
    <w:useWord2002TableStyle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EE5476"/>
    <w:rsid w:val="006D6C45"/>
    <w:rsid w:val="00EE5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F1D16-44D6-4891-93FF-91D70E087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  <w:rPr>
      <w:rFonts w:eastAsiaTheme="minorEastAsia"/>
      <w:lang w:val="en-US"/>
    </w:rPr>
  </w:style>
  <w:style w:type="paragraph" w:styleId="a3">
    <w:name w:val="header"/>
    <w:basedOn w:val="a"/>
    <w:link w:val="1"/>
    <w:semiHidden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Pr>
      <w:sz w:val="24"/>
      <w:szCs w:val="24"/>
      <w:lang w:val="uk-UA"/>
    </w:rPr>
  </w:style>
  <w:style w:type="paragraph" w:styleId="a5">
    <w:name w:val="footer"/>
    <w:basedOn w:val="a"/>
    <w:link w:val="10"/>
    <w:semiHidden/>
    <w:unhideWhenUsed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semiHidden/>
    <w:rPr>
      <w:sz w:val="24"/>
      <w:szCs w:val="24"/>
      <w:lang w:val="uk-UA"/>
    </w:rPr>
  </w:style>
  <w:style w:type="paragraph" w:customStyle="1" w:styleId="PatriotPN">
    <w:name w:val="Patriot_PN"/>
    <w:pPr>
      <w:spacing w:before="240" w:after="240"/>
      <w:ind w:left="284" w:right="284"/>
      <w:jc w:val="center"/>
    </w:pPr>
    <w:rPr>
      <w:rFonts w:ascii="Arial" w:eastAsia="Arial" w:hAnsi="Arial" w:cs="Arial"/>
      <w:b/>
      <w:caps/>
    </w:rPr>
  </w:style>
  <w:style w:type="paragraph" w:customStyle="1" w:styleId="PatriotNR">
    <w:name w:val="Patriot_NR"/>
    <w:pPr>
      <w:spacing w:after="20"/>
      <w:ind w:left="284" w:right="284"/>
      <w:jc w:val="center"/>
    </w:pPr>
    <w:rPr>
      <w:rFonts w:ascii="Arial" w:eastAsia="Arial" w:hAnsi="Arial" w:cs="Arial"/>
      <w:b/>
    </w:rPr>
  </w:style>
  <w:style w:type="character" w:customStyle="1" w:styleId="1">
    <w:name w:val="Верхний колонтитул Знак1"/>
    <w:basedOn w:val="a0"/>
    <w:link w:val="a3"/>
    <w:locked/>
    <w:rPr>
      <w:sz w:val="24"/>
      <w:szCs w:val="24"/>
      <w:lang w:val="uk-UA"/>
    </w:rPr>
  </w:style>
  <w:style w:type="character" w:customStyle="1" w:styleId="10">
    <w:name w:val="Нижний колонтитул Знак1"/>
    <w:basedOn w:val="a0"/>
    <w:link w:val="a5"/>
    <w:locked/>
    <w:rPr>
      <w:sz w:val="24"/>
      <w:szCs w:val="24"/>
      <w:lang w:val="uk-UA"/>
    </w:rPr>
  </w:style>
  <w:style w:type="table" w:styleId="a7">
    <w:name w:val="Table Grid"/>
    <w:basedOn w:val="a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2582</Words>
  <Characters>14724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Баланс</vt:lpstr>
    </vt:vector>
  </TitlesOfParts>
  <Company>1</Company>
  <LinksUpToDate>false</LinksUpToDate>
  <CharactersWithSpaces>17272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Баланс</dc:title>
  <dc:subject/>
  <dc:creator>User</dc:creator>
  <cp:keywords/>
  <dc:description/>
  <cp:lastModifiedBy>Privateer~</cp:lastModifiedBy>
  <cp:revision>2</cp:revision>
  <cp:lastPrinted>2012-03-22T07:25:00Z</cp:lastPrinted>
  <dcterms:created xsi:type="dcterms:W3CDTF">2021-06-15T16:23:00Z</dcterms:created>
  <dcterms:modified xsi:type="dcterms:W3CDTF">2021-06-15T16:23:00Z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UkrRus**</vt:lpwstr>
  </property>
</Properties>
</file>