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A5D03">
      <w:pPr>
        <w:jc w:val="right"/>
        <w:rPr>
          <w:i/>
          <w:sz w:val="20"/>
          <w:szCs w:val="20"/>
          <w:lang w:val="uk-UA"/>
        </w:rPr>
      </w:pPr>
      <w:bookmarkStart w:id="0" w:name="_GoBack"/>
      <w:bookmarkEnd w:id="0"/>
      <w:r>
        <w:rPr>
          <w:i/>
          <w:sz w:val="20"/>
          <w:szCs w:val="20"/>
          <w:lang w:val="uk-UA"/>
        </w:rPr>
        <w:t>ЗАТВЕРДЖЕНО</w:t>
      </w:r>
    </w:p>
    <w:p w:rsidR="00000000" w:rsidRDefault="000A5D03">
      <w:pPr>
        <w:jc w:val="right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Наглядовою радою ПрАТ «КЕРАМПРОМ»</w:t>
      </w:r>
    </w:p>
    <w:p w:rsidR="00000000" w:rsidRDefault="000A5D03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Протокол № 2 від 01.02.2019 року</w:t>
      </w:r>
    </w:p>
    <w:p w:rsidR="00000000" w:rsidRDefault="000A5D03">
      <w:pPr>
        <w:rPr>
          <w:sz w:val="22"/>
          <w:szCs w:val="22"/>
          <w:lang w:val="uk-UA"/>
        </w:rPr>
      </w:pPr>
    </w:p>
    <w:p w:rsidR="00000000" w:rsidRDefault="000A5D03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>ПРИВАТН</w:t>
      </w:r>
      <w:r>
        <w:rPr>
          <w:b/>
          <w:sz w:val="22"/>
          <w:szCs w:val="22"/>
          <w:lang w:val="uk-UA"/>
        </w:rPr>
        <w:t>Е</w:t>
      </w:r>
      <w:r>
        <w:rPr>
          <w:b/>
          <w:sz w:val="22"/>
          <w:szCs w:val="22"/>
        </w:rPr>
        <w:t xml:space="preserve"> АКЦІОНЕРН</w:t>
      </w:r>
      <w:r>
        <w:rPr>
          <w:b/>
          <w:sz w:val="22"/>
          <w:szCs w:val="22"/>
          <w:lang w:val="uk-UA"/>
        </w:rPr>
        <w:t xml:space="preserve">Е </w:t>
      </w:r>
      <w:r>
        <w:rPr>
          <w:b/>
          <w:sz w:val="22"/>
          <w:szCs w:val="22"/>
        </w:rPr>
        <w:t>ТОВАРИСТВ</w:t>
      </w:r>
      <w:r>
        <w:rPr>
          <w:b/>
          <w:sz w:val="22"/>
          <w:szCs w:val="22"/>
          <w:lang w:val="uk-UA"/>
        </w:rPr>
        <w:t>О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«КЕРАМПРОМ</w:t>
      </w:r>
      <w:r>
        <w:rPr>
          <w:b/>
          <w:sz w:val="22"/>
          <w:szCs w:val="22"/>
          <w:lang w:val="uk-UA"/>
        </w:rPr>
        <w:t>»</w:t>
      </w:r>
    </w:p>
    <w:p w:rsidR="00000000" w:rsidRDefault="000A5D03">
      <w:pPr>
        <w:jc w:val="center"/>
        <w:rPr>
          <w:rFonts w:eastAsia="Calibri"/>
          <w:color w:val="000000"/>
          <w:sz w:val="22"/>
          <w:szCs w:val="22"/>
          <w:lang w:val="uk-UA"/>
        </w:rPr>
      </w:pPr>
      <w:r>
        <w:rPr>
          <w:rFonts w:eastAsia="Calibri"/>
          <w:color w:val="000000"/>
          <w:sz w:val="22"/>
          <w:szCs w:val="22"/>
          <w:lang w:val="uk-UA"/>
        </w:rPr>
        <w:t>(місцезнаходження</w:t>
      </w:r>
      <w:r>
        <w:rPr>
          <w:rFonts w:eastAsia="Calibri"/>
          <w:color w:val="000000"/>
          <w:sz w:val="22"/>
          <w:szCs w:val="22"/>
        </w:rPr>
        <w:t>: 85171,</w:t>
      </w:r>
      <w:r>
        <w:rPr>
          <w:rFonts w:eastAsia="Calibri"/>
          <w:color w:val="000000"/>
          <w:sz w:val="22"/>
          <w:szCs w:val="22"/>
          <w:lang w:val="uk-UA"/>
        </w:rPr>
        <w:t xml:space="preserve"> Україна</w:t>
      </w:r>
      <w:r>
        <w:rPr>
          <w:rFonts w:eastAsia="Calibri"/>
          <w:color w:val="000000"/>
          <w:sz w:val="22"/>
          <w:szCs w:val="22"/>
        </w:rPr>
        <w:t>, Донецька область,</w:t>
      </w:r>
      <w:r>
        <w:rPr>
          <w:rFonts w:eastAsia="Calibri"/>
          <w:color w:val="000000"/>
          <w:sz w:val="22"/>
          <w:szCs w:val="22"/>
          <w:lang w:val="uk-UA"/>
        </w:rPr>
        <w:t xml:space="preserve"> Костянтинівський</w:t>
      </w:r>
      <w:r>
        <w:rPr>
          <w:rFonts w:eastAsia="Calibri"/>
          <w:color w:val="000000"/>
          <w:sz w:val="22"/>
          <w:szCs w:val="22"/>
        </w:rPr>
        <w:t xml:space="preserve"> район,</w:t>
      </w:r>
    </w:p>
    <w:p w:rsidR="00000000" w:rsidRDefault="000A5D03">
      <w:pPr>
        <w:jc w:val="center"/>
        <w:rPr>
          <w:rFonts w:eastAsia="Calibri"/>
          <w:color w:val="000000"/>
          <w:sz w:val="22"/>
          <w:szCs w:val="22"/>
          <w:lang w:val="uk-UA"/>
        </w:rPr>
      </w:pPr>
      <w:r>
        <w:rPr>
          <w:rFonts w:eastAsia="Calibri"/>
          <w:color w:val="000000"/>
          <w:sz w:val="22"/>
          <w:szCs w:val="22"/>
          <w:lang w:val="uk-UA"/>
        </w:rPr>
        <w:t>с. Артемівка, вул.</w:t>
      </w:r>
      <w:r>
        <w:rPr>
          <w:rFonts w:eastAsia="Calibri"/>
          <w:color w:val="000000"/>
          <w:sz w:val="22"/>
          <w:szCs w:val="22"/>
        </w:rPr>
        <w:t> Дружби, буд.2</w:t>
      </w:r>
      <w:r>
        <w:rPr>
          <w:rFonts w:eastAsia="Calibri"/>
          <w:color w:val="000000"/>
          <w:sz w:val="22"/>
          <w:szCs w:val="22"/>
          <w:lang w:val="uk-UA"/>
        </w:rPr>
        <w:t>,</w:t>
      </w:r>
    </w:p>
    <w:p w:rsidR="00000000" w:rsidRDefault="000A5D03">
      <w:pPr>
        <w:jc w:val="center"/>
        <w:rPr>
          <w:rFonts w:eastAsia="Calibri"/>
          <w:color w:val="000000"/>
          <w:sz w:val="22"/>
          <w:szCs w:val="22"/>
          <w:lang w:val="uk-UA"/>
        </w:rPr>
      </w:pPr>
      <w:r>
        <w:rPr>
          <w:rFonts w:eastAsia="Calibri"/>
          <w:color w:val="000000"/>
          <w:sz w:val="22"/>
          <w:szCs w:val="22"/>
          <w:lang w:val="uk-UA"/>
        </w:rPr>
        <w:t xml:space="preserve"> </w:t>
      </w:r>
      <w:r>
        <w:rPr>
          <w:rFonts w:eastAsia="Calibri"/>
          <w:color w:val="000000"/>
          <w:sz w:val="22"/>
          <w:szCs w:val="22"/>
        </w:rPr>
        <w:t>(надалі ПрАТ «КЕРАМПРОМ» або Товариство)</w:t>
      </w:r>
    </w:p>
    <w:p w:rsidR="00000000" w:rsidRDefault="000A5D03">
      <w:pPr>
        <w:jc w:val="center"/>
        <w:rPr>
          <w:rFonts w:eastAsia="Calibri"/>
          <w:color w:val="000000"/>
          <w:sz w:val="22"/>
          <w:szCs w:val="22"/>
          <w:lang w:val="uk-UA"/>
        </w:rPr>
      </w:pPr>
    </w:p>
    <w:p w:rsidR="00000000" w:rsidRDefault="000A5D03">
      <w:pPr>
        <w:spacing w:after="120"/>
        <w:jc w:val="both"/>
        <w:rPr>
          <w:b/>
          <w:sz w:val="22"/>
          <w:szCs w:val="22"/>
          <w:lang w:val="uk-UA"/>
        </w:rPr>
      </w:pPr>
      <w:r>
        <w:rPr>
          <w:rFonts w:eastAsia="Calibri"/>
          <w:color w:val="000000"/>
          <w:sz w:val="22"/>
          <w:szCs w:val="22"/>
          <w:lang w:val="uk-UA"/>
        </w:rPr>
        <w:t xml:space="preserve">повідомляє про проведення річних Загальних зборів акціонерів, які відбудуться </w:t>
      </w:r>
      <w:r>
        <w:rPr>
          <w:b/>
          <w:sz w:val="22"/>
          <w:szCs w:val="22"/>
          <w:lang w:val="uk-UA"/>
        </w:rPr>
        <w:t>29 березня 2</w:t>
      </w:r>
      <w:r>
        <w:rPr>
          <w:b/>
          <w:sz w:val="22"/>
          <w:szCs w:val="22"/>
          <w:lang w:val="uk-UA"/>
        </w:rPr>
        <w:t>019 року о 10.00 годині</w:t>
      </w:r>
      <w:r>
        <w:rPr>
          <w:sz w:val="22"/>
          <w:szCs w:val="22"/>
          <w:lang w:val="uk-UA"/>
        </w:rPr>
        <w:t xml:space="preserve"> за адресою: </w:t>
      </w:r>
      <w:r>
        <w:rPr>
          <w:b/>
          <w:sz w:val="22"/>
          <w:szCs w:val="22"/>
          <w:lang w:val="uk-UA"/>
        </w:rPr>
        <w:t xml:space="preserve">Україна, 85171, Донецька область, Костянтинівський район, с. Софіївка (с. Артемівка), вул. Дружби, 2, кімната № 1. </w:t>
      </w:r>
      <w:r>
        <w:rPr>
          <w:b/>
          <w:color w:val="0000FF"/>
          <w:sz w:val="22"/>
          <w:szCs w:val="22"/>
          <w:lang w:val="uk-UA"/>
        </w:rPr>
        <w:t xml:space="preserve">  </w:t>
      </w:r>
    </w:p>
    <w:p w:rsidR="00000000" w:rsidRDefault="000A5D03">
      <w:pPr>
        <w:spacing w:after="120"/>
        <w:jc w:val="both"/>
        <w:rPr>
          <w:rFonts w:eastAsia="Calibri"/>
          <w:color w:val="000000"/>
          <w:sz w:val="22"/>
          <w:szCs w:val="22"/>
          <w:lang w:val="uk-UA"/>
        </w:rPr>
      </w:pPr>
      <w:r>
        <w:rPr>
          <w:rFonts w:eastAsia="Calibri"/>
          <w:color w:val="000000"/>
          <w:sz w:val="22"/>
          <w:szCs w:val="22"/>
          <w:lang w:val="uk-UA"/>
        </w:rPr>
        <w:t>Реєстрації акціонерів та їх представників для участі</w:t>
      </w:r>
      <w:r>
        <w:rPr>
          <w:sz w:val="22"/>
          <w:szCs w:val="22"/>
          <w:lang w:val="uk-UA"/>
        </w:rPr>
        <w:t xml:space="preserve"> у</w:t>
      </w:r>
      <w:r>
        <w:rPr>
          <w:rFonts w:eastAsia="Calibri"/>
          <w:color w:val="000000"/>
          <w:sz w:val="22"/>
          <w:szCs w:val="22"/>
          <w:lang w:val="uk-UA"/>
        </w:rPr>
        <w:t xml:space="preserve"> Загальних зборах відбуватиметься  </w:t>
      </w:r>
      <w:r>
        <w:rPr>
          <w:sz w:val="22"/>
          <w:szCs w:val="22"/>
          <w:lang w:val="uk-UA"/>
        </w:rPr>
        <w:t>29 березня 20</w:t>
      </w:r>
      <w:r>
        <w:rPr>
          <w:sz w:val="22"/>
          <w:szCs w:val="22"/>
          <w:lang w:val="uk-UA"/>
        </w:rPr>
        <w:t>19 року</w:t>
      </w:r>
      <w:r>
        <w:rPr>
          <w:b/>
          <w:sz w:val="22"/>
          <w:szCs w:val="22"/>
          <w:lang w:val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/>
        </w:rPr>
        <w:t>з 09.15 годин до 09.50 годин за місцем проведення Загальних зборів.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rFonts w:eastAsia="Calibri"/>
          <w:color w:val="000000"/>
          <w:sz w:val="22"/>
          <w:szCs w:val="22"/>
          <w:lang w:val="uk-UA"/>
        </w:rPr>
        <w:t>Перелік акціонерів,  які мають право на участь у Загальних зборах, складається</w:t>
      </w:r>
      <w:r>
        <w:rPr>
          <w:sz w:val="22"/>
          <w:szCs w:val="22"/>
          <w:lang w:val="uk-UA"/>
        </w:rPr>
        <w:t xml:space="preserve"> станом на 24 годину 25 березня 2019 року</w:t>
      </w:r>
      <w:r>
        <w:rPr>
          <w:rFonts w:eastAsia="Calibri"/>
          <w:color w:val="000000"/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 xml:space="preserve"> </w:t>
      </w:r>
    </w:p>
    <w:p w:rsidR="00000000" w:rsidRDefault="000A5D03">
      <w:pPr>
        <w:jc w:val="both"/>
        <w:rPr>
          <w:rFonts w:eastAsia="Calibri"/>
          <w:sz w:val="22"/>
          <w:szCs w:val="22"/>
          <w:lang w:val="uk-UA"/>
        </w:rPr>
      </w:pPr>
    </w:p>
    <w:p w:rsidR="00000000" w:rsidRDefault="000A5D03">
      <w:pPr>
        <w:spacing w:after="12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Перелік питань, включених до проекту порядку д</w:t>
      </w:r>
      <w:r>
        <w:rPr>
          <w:b/>
          <w:sz w:val="22"/>
          <w:szCs w:val="22"/>
          <w:lang w:val="uk-UA"/>
        </w:rPr>
        <w:t xml:space="preserve">енного річних Загальних зборів акціонерів ПрАТ «КЕРАМПРОМ»:  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1. Обрання членів Лічильної комісії річних Загальних зборів Товариства, прийняття рішення про припинення їх повноважень. 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2. Затвердження порядку проведення річних Загальних зборів Товариства. 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3. Розгляд звіту Наглядової ради Товариства за 2018 рік, прийняття рішення за наслідками розгляду звіту.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4. Розгляд звіту Генерального директора про результати фінансово-господарської діяльності Товариства за 2018 рік,  прийняття рішення за наслідками розг</w:t>
      </w:r>
      <w:r>
        <w:rPr>
          <w:sz w:val="22"/>
          <w:szCs w:val="22"/>
          <w:lang w:val="uk-UA"/>
        </w:rPr>
        <w:t xml:space="preserve">ляду звіту. 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5. Затвердження звіту та висновків Ревізора Товариства за 2018 рік.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6. Затвердження річного звіту Товариства за 2018 рік.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7. Розподіл прибутку Товариства за 2018 рік, затвердження розміру річних дивідендів та визначення способу їх виплати, з у</w:t>
      </w:r>
      <w:r>
        <w:rPr>
          <w:sz w:val="22"/>
          <w:szCs w:val="22"/>
          <w:lang w:val="uk-UA"/>
        </w:rPr>
        <w:t>рахуванням вимог, передбачених законом.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8. Припинення повноважень 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 xml:space="preserve">Голови та членів </w:t>
      </w:r>
      <w:r>
        <w:rPr>
          <w:sz w:val="22"/>
          <w:szCs w:val="22"/>
          <w:lang w:val="uk-UA"/>
        </w:rPr>
        <w:t>Наглядової ради Товариства.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9. Обрання членів Наглядової ради Товариства.</w:t>
      </w:r>
    </w:p>
    <w:p w:rsidR="00000000" w:rsidRDefault="000A5D03">
      <w:pPr>
        <w:jc w:val="both"/>
        <w:outlineLvl w:val="0"/>
        <w:rPr>
          <w:color w:val="FF0000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10. Затвердження умов трудових договорів з членами Наглядової ради, встановлення розміру їх винагор</w:t>
      </w:r>
      <w:r>
        <w:rPr>
          <w:sz w:val="22"/>
          <w:szCs w:val="22"/>
          <w:lang w:val="uk-UA"/>
        </w:rPr>
        <w:t>оди. Затвердження Кошторису (бюджету)  Наглядової ради Товариства</w:t>
      </w:r>
      <w:r>
        <w:rPr>
          <w:color w:val="0070C0"/>
          <w:sz w:val="22"/>
          <w:szCs w:val="22"/>
          <w:lang w:val="uk-UA"/>
        </w:rPr>
        <w:t xml:space="preserve">. </w:t>
      </w:r>
    </w:p>
    <w:p w:rsidR="00000000" w:rsidRDefault="000A5D03">
      <w:pPr>
        <w:jc w:val="both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11. Прийняття рішення про попереднє надання згоди на вчинення Товариством значних правочинів.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12. Прийняття рішення про схвалення значного правочину, щодо вчинення якого є </w:t>
      </w:r>
      <w:r>
        <w:rPr>
          <w:sz w:val="22"/>
          <w:szCs w:val="22"/>
          <w:lang w:val="uk-UA"/>
        </w:rPr>
        <w:t>заінтересованість.</w:t>
      </w:r>
    </w:p>
    <w:p w:rsidR="00000000" w:rsidRDefault="000A5D03">
      <w:pPr>
        <w:jc w:val="both"/>
        <w:rPr>
          <w:b/>
          <w:sz w:val="22"/>
          <w:szCs w:val="22"/>
          <w:lang w:val="uk-UA"/>
        </w:rPr>
      </w:pPr>
    </w:p>
    <w:p w:rsidR="00000000" w:rsidRDefault="000A5D03">
      <w:pPr>
        <w:pStyle w:val="af"/>
        <w:widowControl w:val="0"/>
        <w:tabs>
          <w:tab w:val="left" w:pos="180"/>
        </w:tabs>
        <w:autoSpaceDN w:val="0"/>
        <w:adjustRightInd w:val="0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ПРОЕКТИ РІШЕНЬ З ПИТАНЬ ПРОЕКТУ ПОРЯДКУ ДЕННОГО: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1. Обрання членів Лічильної комісії річних Загальних зборів Товариства, прийняття рішення про припинення їх повноважень.</w:t>
      </w:r>
      <w:r>
        <w:rPr>
          <w:sz w:val="22"/>
          <w:szCs w:val="22"/>
          <w:lang w:val="uk-UA"/>
        </w:rPr>
        <w:t xml:space="preserve"> </w:t>
      </w:r>
    </w:p>
    <w:p w:rsidR="00000000" w:rsidRDefault="000A5D03">
      <w:pPr>
        <w:jc w:val="both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рішення:</w:t>
      </w:r>
    </w:p>
    <w:p w:rsidR="00000000" w:rsidRDefault="000A5D03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1.1. </w:t>
      </w:r>
      <w:r>
        <w:rPr>
          <w:sz w:val="22"/>
          <w:szCs w:val="22"/>
          <w:lang w:val="uk-UA"/>
        </w:rPr>
        <w:t>Обрати Лічильну комісію річних Загальних зборів Товариства з числа працівників Товариства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у наступному складі: </w:t>
      </w:r>
    </w:p>
    <w:p w:rsidR="00000000" w:rsidRDefault="000A5D03">
      <w:pPr>
        <w:widowControl w:val="0"/>
        <w:autoSpaceDE w:val="0"/>
        <w:autoSpaceDN w:val="0"/>
        <w:adjustRightInd w:val="0"/>
        <w:ind w:left="4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Голова Лічильної комісії    -   Радченко Валентин Вікторович;</w:t>
      </w:r>
    </w:p>
    <w:p w:rsidR="00000000" w:rsidRDefault="000A5D03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Член Лічильної комісії       -   Мединська Анна Володимирівна.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1.2. Припини</w:t>
      </w:r>
      <w:r>
        <w:rPr>
          <w:sz w:val="22"/>
          <w:szCs w:val="22"/>
          <w:lang w:val="uk-UA"/>
        </w:rPr>
        <w:t>ти повноваження Лічильної комісії річних Загальних зборів Товариства після виконання покладених на неї обов’язків у повному обсязі.</w:t>
      </w:r>
    </w:p>
    <w:p w:rsidR="00000000" w:rsidRDefault="000A5D03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2. Затвердження порядку проведення річних Загальних зборів Товариства. </w:t>
      </w:r>
    </w:p>
    <w:p w:rsidR="00000000" w:rsidRDefault="000A5D03">
      <w:pPr>
        <w:jc w:val="both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рішення: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2. Затвердити наступний порядок пров</w:t>
      </w:r>
      <w:r>
        <w:rPr>
          <w:sz w:val="22"/>
          <w:szCs w:val="22"/>
          <w:lang w:val="uk-UA"/>
        </w:rPr>
        <w:t>едення річних Загальних зборів Приватного акціонерного товариства «КЕРАМПРОМ»:</w:t>
      </w:r>
    </w:p>
    <w:p w:rsidR="00000000" w:rsidRDefault="000A5D03">
      <w:pPr>
        <w:pStyle w:val="af"/>
        <w:widowControl w:val="0"/>
        <w:tabs>
          <w:tab w:val="left" w:pos="180"/>
        </w:tabs>
        <w:autoSpaceDN w:val="0"/>
        <w:adjustRightInd w:val="0"/>
        <w:spacing w:after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2.1. Виступи з питань порядку денного на річних Загальних зборах акціонерів:</w:t>
      </w:r>
    </w:p>
    <w:p w:rsidR="00000000" w:rsidRDefault="000A5D03">
      <w:pPr>
        <w:pStyle w:val="af"/>
        <w:widowControl w:val="0"/>
        <w:tabs>
          <w:tab w:val="left" w:pos="180"/>
        </w:tabs>
        <w:autoSpaceDN w:val="0"/>
        <w:adjustRightInd w:val="0"/>
        <w:spacing w:after="0"/>
        <w:ind w:left="7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основна доповідь                    -   до 10 хвилин;</w:t>
      </w:r>
    </w:p>
    <w:p w:rsidR="00000000" w:rsidRDefault="000A5D03">
      <w:pPr>
        <w:widowControl w:val="0"/>
        <w:autoSpaceDE w:val="0"/>
        <w:autoSpaceDN w:val="0"/>
        <w:adjustRightInd w:val="0"/>
        <w:ind w:left="7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відповіді на запитання           -   до  5 хви</w:t>
      </w:r>
      <w:r>
        <w:rPr>
          <w:sz w:val="22"/>
          <w:szCs w:val="22"/>
          <w:lang w:val="uk-UA"/>
        </w:rPr>
        <w:t>лин.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2.2. Голосування з усіх питань порядку денного здійснюється бюлетенями для голосування, які акціонери та їх представники отримують при реєстрації. Бюлетені для голосування </w:t>
      </w:r>
      <w:r>
        <w:rPr>
          <w:bCs/>
          <w:sz w:val="22"/>
          <w:szCs w:val="22"/>
          <w:lang w:val="uk-UA"/>
        </w:rPr>
        <w:t>засвідчуються перед їх видачою акціонеру (його представнику) під час його реєст</w:t>
      </w:r>
      <w:r>
        <w:rPr>
          <w:bCs/>
          <w:sz w:val="22"/>
          <w:szCs w:val="22"/>
          <w:lang w:val="uk-UA"/>
        </w:rPr>
        <w:t xml:space="preserve">рації для участі в </w:t>
      </w:r>
      <w:r>
        <w:rPr>
          <w:sz w:val="22"/>
          <w:szCs w:val="22"/>
          <w:lang w:val="uk-UA"/>
        </w:rPr>
        <w:t xml:space="preserve">річних Загальних зборах </w:t>
      </w:r>
      <w:r>
        <w:rPr>
          <w:bCs/>
          <w:sz w:val="22"/>
          <w:szCs w:val="22"/>
          <w:lang w:val="uk-UA"/>
        </w:rPr>
        <w:t xml:space="preserve">підписом Голови або члена </w:t>
      </w:r>
      <w:r>
        <w:rPr>
          <w:bCs/>
          <w:sz w:val="22"/>
          <w:szCs w:val="22"/>
          <w:lang w:val="uk-UA"/>
        </w:rPr>
        <w:lastRenderedPageBreak/>
        <w:t>Реєстраційної комісії в нижній частині бюлетеня із зазначенням прізвища та ініціалів Голови або члена  Реєстраційної комісії.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Бюлетень для голосування містить варіанти </w:t>
      </w:r>
      <w:r>
        <w:rPr>
          <w:sz w:val="22"/>
          <w:szCs w:val="22"/>
          <w:lang w:val="uk-UA"/>
        </w:rPr>
        <w:t>голосування за кожний проект рішення (написи «за», «проти», «утримався»). Після розгляду питання та винесення Головою зборів цього питання на голосування, акціонер  відмічає у бюлетені свій варіант голосування.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2.3. Голосування на Загальних зборах проводит</w:t>
      </w:r>
      <w:r>
        <w:rPr>
          <w:sz w:val="22"/>
          <w:szCs w:val="22"/>
          <w:lang w:val="uk-UA"/>
        </w:rPr>
        <w:t xml:space="preserve">ься за принципом: одна голосуюча акція надає акціонеру один голос для вирішення кожного з питань, винесених на голосування на Загальних зборах. 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Після закінчення голосування з питання порядку денного акціонер зобов’язаний здати Лічильній комісії свій бюлет</w:t>
      </w:r>
      <w:r>
        <w:rPr>
          <w:sz w:val="22"/>
          <w:szCs w:val="22"/>
          <w:lang w:val="uk-UA"/>
        </w:rPr>
        <w:t>ень для голосування. Лічильна комісія збирає бюлетені, підраховує голоси та оголошує результати голосування.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2.4. Річні Загальні збори акціонерів Товариства продовжуються до завершення розгляду всіх питань порядку денного та доведення до відома акціонерів </w:t>
      </w:r>
      <w:r>
        <w:rPr>
          <w:sz w:val="22"/>
          <w:szCs w:val="22"/>
          <w:lang w:val="uk-UA"/>
        </w:rPr>
        <w:t>інформації про результати голосування та прийнятті рішення.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2.5. Усі інші процедури та питання, які виникають під час проведення Загальних зборів Товариства, вирішуються відповідно до норм Статуту Товариства та чинного законодавства України.</w:t>
      </w:r>
    </w:p>
    <w:p w:rsidR="00000000" w:rsidRDefault="000A5D03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3. Розгляд зві</w:t>
      </w:r>
      <w:r>
        <w:rPr>
          <w:b/>
          <w:sz w:val="22"/>
          <w:szCs w:val="22"/>
          <w:lang w:val="uk-UA"/>
        </w:rPr>
        <w:t>ту Наглядової ради Товариства за 2018 рік, прийняття рішення за наслідками розгляду звіту.</w:t>
      </w:r>
    </w:p>
    <w:p w:rsidR="00000000" w:rsidRDefault="000A5D03">
      <w:pPr>
        <w:tabs>
          <w:tab w:val="num" w:pos="426"/>
        </w:tabs>
        <w:jc w:val="both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рішення:</w:t>
      </w:r>
    </w:p>
    <w:p w:rsidR="00000000" w:rsidRDefault="000A5D03">
      <w:pPr>
        <w:pStyle w:val="af"/>
        <w:widowControl w:val="0"/>
        <w:tabs>
          <w:tab w:val="left" w:pos="6379"/>
        </w:tabs>
        <w:autoSpaceDN w:val="0"/>
        <w:adjustRightInd w:val="0"/>
        <w:rPr>
          <w:i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3. Затвердити звіт Наглядової ради Товариства за 2018 рік.</w:t>
      </w:r>
    </w:p>
    <w:p w:rsidR="00000000" w:rsidRDefault="000A5D03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4. Розгляд звіту Генерального директора про результати фінансово-господарської діяльності </w:t>
      </w:r>
      <w:r>
        <w:rPr>
          <w:b/>
          <w:sz w:val="22"/>
          <w:szCs w:val="22"/>
          <w:lang w:val="uk-UA"/>
        </w:rPr>
        <w:t>Товариства за 2018 рік,  прийняття рішення за наслідками розгляду звіту.</w:t>
      </w:r>
    </w:p>
    <w:p w:rsidR="00000000" w:rsidRDefault="000A5D03">
      <w:pPr>
        <w:jc w:val="both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рішення:</w:t>
      </w:r>
    </w:p>
    <w:p w:rsidR="00000000" w:rsidRDefault="000A5D03">
      <w:pPr>
        <w:pStyle w:val="af"/>
        <w:widowControl w:val="0"/>
        <w:tabs>
          <w:tab w:val="left" w:pos="6379"/>
        </w:tabs>
        <w:autoSpaceDN w:val="0"/>
        <w:adjustRightInd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4. Затвердити звіт Генерального директора про результати фінансово-господарської діяльності Товариства за 2018 рік </w:t>
      </w:r>
    </w:p>
    <w:p w:rsidR="00000000" w:rsidRDefault="000A5D03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5.</w:t>
      </w:r>
      <w:r>
        <w:rPr>
          <w:sz w:val="22"/>
          <w:szCs w:val="22"/>
          <w:lang w:val="uk-UA"/>
        </w:rPr>
        <w:t> </w:t>
      </w:r>
      <w:r>
        <w:rPr>
          <w:b/>
          <w:sz w:val="22"/>
          <w:szCs w:val="22"/>
          <w:lang w:val="uk-UA"/>
        </w:rPr>
        <w:t>Затвердження звіту та висновків Ревізора Товарис</w:t>
      </w:r>
      <w:r>
        <w:rPr>
          <w:b/>
          <w:sz w:val="22"/>
          <w:szCs w:val="22"/>
          <w:lang w:val="uk-UA"/>
        </w:rPr>
        <w:t>тва за 2018 рік.</w:t>
      </w:r>
    </w:p>
    <w:p w:rsidR="00000000" w:rsidRDefault="000A5D03">
      <w:pPr>
        <w:pStyle w:val="af"/>
        <w:widowControl w:val="0"/>
        <w:tabs>
          <w:tab w:val="left" w:pos="6379"/>
        </w:tabs>
        <w:autoSpaceDN w:val="0"/>
        <w:adjustRightInd w:val="0"/>
        <w:spacing w:after="0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рішення: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5. Затвердити звіт та висновки Ревізора щодо фінансово-господарської діяльності Товариства за 2018 рік.</w:t>
      </w:r>
      <w:r>
        <w:rPr>
          <w:rStyle w:val="Absatz-Standardschriftart"/>
          <w:rFonts w:ascii="Arial" w:hAnsi="Arial" w:cs="Arial"/>
          <w:color w:val="0065A3"/>
          <w:sz w:val="22"/>
          <w:szCs w:val="22"/>
          <w:shd w:val="clear" w:color="auto" w:fill="DFE2E7"/>
          <w:lang w:val="uk-UA"/>
        </w:rPr>
        <w:t xml:space="preserve"> 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6. Затвердження річного звіту Товариства за 2018 рік.</w:t>
      </w:r>
      <w:r>
        <w:rPr>
          <w:sz w:val="22"/>
          <w:szCs w:val="22"/>
          <w:lang w:val="uk-UA"/>
        </w:rPr>
        <w:t xml:space="preserve"> </w:t>
      </w:r>
    </w:p>
    <w:p w:rsidR="00000000" w:rsidRDefault="000A5D03">
      <w:pPr>
        <w:jc w:val="both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рішення: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6. Затвердити річний звіт Товариства за 2018 рі</w:t>
      </w:r>
      <w:r>
        <w:rPr>
          <w:sz w:val="22"/>
          <w:szCs w:val="22"/>
          <w:lang w:val="uk-UA"/>
        </w:rPr>
        <w:t>к.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7. Розподіл прибутку Товариства за 2018 рік, затвердження розміру річних дивідендів та визначення способу їх виплати, з урахуванням вимог, передбачених законом.</w:t>
      </w:r>
    </w:p>
    <w:p w:rsidR="00000000" w:rsidRDefault="000A5D03">
      <w:pPr>
        <w:tabs>
          <w:tab w:val="num" w:pos="426"/>
        </w:tabs>
        <w:jc w:val="both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рішення:</w:t>
      </w:r>
    </w:p>
    <w:p w:rsidR="00000000" w:rsidRDefault="000A5D03">
      <w:pPr>
        <w:pStyle w:val="a5"/>
        <w:shd w:val="clear" w:color="auto" w:fill="FFFFFF"/>
        <w:spacing w:before="0" w:beforeAutospacing="0" w:after="120" w:afterAutospacing="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>7.1. Розподілити чистий прибуток, отриманий Товариством за результатами діял</w:t>
      </w:r>
      <w:r>
        <w:rPr>
          <w:sz w:val="22"/>
          <w:szCs w:val="22"/>
        </w:rPr>
        <w:t>ьності у 2018 році в сумі 31 691 822,00 грн. (тридцять один мільйон шістсот дев’яносто одна тисяча вісімсот двадцять дві гривні</w:t>
      </w:r>
      <w:r>
        <w:rPr>
          <w:i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наступним чином:</w:t>
      </w:r>
    </w:p>
    <w:p w:rsidR="00000000" w:rsidRDefault="000A5D03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31 402 700,00 грн.   -   на виплату дивідендів акціонерам Товариства;</w:t>
      </w:r>
    </w:p>
    <w:p w:rsidR="00000000" w:rsidRDefault="000A5D03">
      <w:pPr>
        <w:spacing w:after="1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289 322,00  грн.  -   на розвиток Т</w:t>
      </w:r>
      <w:r>
        <w:rPr>
          <w:sz w:val="22"/>
          <w:szCs w:val="22"/>
          <w:lang w:val="uk-UA"/>
        </w:rPr>
        <w:t xml:space="preserve">овариства. 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7.2. За підсумками фінансово-господарської діяльності Товариства за 2018 рік виплатити дивіденди акціонерам Товариства з чистого прибутку звітного року у строк, що не перевищує шість місяців з дня прийняття даного рішення.</w:t>
      </w:r>
    </w:p>
    <w:p w:rsidR="00000000" w:rsidRDefault="000A5D03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7.3. </w:t>
      </w:r>
      <w:r>
        <w:rPr>
          <w:sz w:val="22"/>
          <w:szCs w:val="22"/>
        </w:rPr>
        <w:t>Затвердити наступний розмір дивідендів за результатами діяльності у 2018 році - 31 402 700,00 грн. (тридцять один мільйон чотириста дві тисячі сімсот гривень 00 копійок), що в розрахунку на одну акцію складає  100,00 грн. (сто гривень 00 копійок).</w:t>
      </w:r>
    </w:p>
    <w:p w:rsidR="00000000" w:rsidRDefault="000A5D03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7.4. Зат</w:t>
      </w:r>
      <w:r>
        <w:rPr>
          <w:sz w:val="22"/>
          <w:szCs w:val="22"/>
        </w:rPr>
        <w:t xml:space="preserve">вердити спосіб виплати дивідендів - грошовими коштами безпосередньо акціонерам відповідно до чинного законодавства України. </w:t>
      </w:r>
    </w:p>
    <w:p w:rsidR="00000000" w:rsidRDefault="000A5D03">
      <w:pPr>
        <w:pStyle w:val="a5"/>
        <w:shd w:val="clear" w:color="auto" w:fill="FFFFFF"/>
        <w:spacing w:before="0" w:beforeAutospacing="0" w:after="12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7.5. Вповноважити Наглядову раду Товариства визначити дату складання переліку осіб, які мають право на отримання дивідендів, порядк</w:t>
      </w:r>
      <w:r>
        <w:rPr>
          <w:sz w:val="22"/>
          <w:szCs w:val="22"/>
        </w:rPr>
        <w:t>у та строків виплати дивідендів у межах граничного строку, визначеного пунктом 7.2. даного рішення.</w:t>
      </w:r>
    </w:p>
    <w:p w:rsidR="00000000" w:rsidRDefault="000A5D03">
      <w:pPr>
        <w:tabs>
          <w:tab w:val="num" w:pos="426"/>
        </w:tabs>
        <w:jc w:val="both"/>
        <w:rPr>
          <w:rFonts w:ascii="Times New Roman CYR" w:hAnsi="Times New Roman CYR" w:cs="Times New Roman CYR"/>
          <w:b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/>
          <w:sz w:val="22"/>
          <w:szCs w:val="22"/>
          <w:lang w:val="uk-UA"/>
        </w:rPr>
        <w:t>8. Припинення повноважень Голови та членів Наглядової ради Товариства.</w:t>
      </w:r>
    </w:p>
    <w:p w:rsidR="00000000" w:rsidRDefault="000A5D03">
      <w:pPr>
        <w:jc w:val="both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рішення:</w:t>
      </w:r>
    </w:p>
    <w:p w:rsidR="00000000" w:rsidRDefault="000A5D03">
      <w:pPr>
        <w:pStyle w:val="a5"/>
        <w:shd w:val="clear" w:color="auto" w:fill="FFFFFF"/>
        <w:spacing w:before="0" w:beforeAutospacing="0" w:after="120" w:afterAutospacing="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8. У зв’язку з закінченням строку дії повноважень Голови та членів На</w:t>
      </w:r>
      <w:r>
        <w:rPr>
          <w:rFonts w:ascii="Times New Roman CYR" w:hAnsi="Times New Roman CYR" w:cs="Times New Roman CYR"/>
          <w:sz w:val="22"/>
          <w:szCs w:val="22"/>
        </w:rPr>
        <w:t xml:space="preserve">глядової ради Товариства припинити повноваження Наглядової ради в повному складі: Бевзенко Валерія Федоровича, Бевзенко Ігоря  Валерійович, Козлова Олександра Миколайовича, Бевзенко Павла Борисовича, Марченко Олени Сергіївни.                       </w:t>
      </w:r>
    </w:p>
    <w:p w:rsidR="00000000" w:rsidRDefault="000A5D03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9. </w:t>
      </w:r>
      <w:r>
        <w:rPr>
          <w:b/>
          <w:sz w:val="22"/>
          <w:szCs w:val="22"/>
          <w:lang w:val="uk-UA"/>
        </w:rPr>
        <w:t>Обрання членів Наглядової ради Товариства.</w:t>
      </w:r>
    </w:p>
    <w:p w:rsidR="00000000" w:rsidRDefault="000A5D03">
      <w:pPr>
        <w:jc w:val="both"/>
        <w:rPr>
          <w:b/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lastRenderedPageBreak/>
        <w:t>Проект рішення:</w:t>
      </w:r>
    </w:p>
    <w:p w:rsidR="00000000" w:rsidRDefault="000A5D03">
      <w:pPr>
        <w:spacing w:after="120"/>
        <w:jc w:val="both"/>
        <w:rPr>
          <w:b/>
          <w:i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9. Обрати до складу Наглядової ради ПрАТ «КЕРАМПРОМ» п’ять осіб строком на три роки:</w:t>
      </w:r>
    </w:p>
    <w:p w:rsidR="00000000" w:rsidRDefault="000A5D03">
      <w:pPr>
        <w:jc w:val="both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Бевзенко Валерій Федорович       -  акціонер;</w:t>
      </w:r>
    </w:p>
    <w:p w:rsidR="00000000" w:rsidRDefault="000A5D03">
      <w:pPr>
        <w:jc w:val="both"/>
        <w:rPr>
          <w:b/>
          <w:i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Бевзенко Ігор Валерійович           -  акціонер;</w:t>
      </w:r>
    </w:p>
    <w:p w:rsidR="00000000" w:rsidRDefault="000A5D03">
      <w:pPr>
        <w:jc w:val="both"/>
        <w:rPr>
          <w:b/>
          <w:i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Козлов Олександр 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Миколайович -  представник акціонера</w:t>
      </w:r>
      <w:r>
        <w:rPr>
          <w:sz w:val="22"/>
          <w:szCs w:val="22"/>
          <w:lang w:val="uk-UA"/>
        </w:rPr>
        <w:t>;</w:t>
      </w:r>
    </w:p>
    <w:p w:rsidR="00000000" w:rsidRDefault="000A5D03">
      <w:pPr>
        <w:jc w:val="both"/>
        <w:rPr>
          <w:b/>
          <w:i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Бевзенко Павло Борисович           -  представник акціонера;</w:t>
      </w:r>
    </w:p>
    <w:p w:rsidR="00000000" w:rsidRDefault="000A5D03">
      <w:pPr>
        <w:spacing w:after="120"/>
        <w:jc w:val="both"/>
        <w:rPr>
          <w:rFonts w:ascii="Times New Roman CYR" w:hAnsi="Times New Roman CYR" w:cs="Times New Roman CYR"/>
          <w:bCs/>
          <w:color w:val="00B0F0"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Марченко Олена Сергіївна           -  представник акціонера.</w:t>
      </w:r>
    </w:p>
    <w:p w:rsidR="00000000" w:rsidRDefault="000A5D03">
      <w:pPr>
        <w:jc w:val="both"/>
        <w:outlineLvl w:val="0"/>
        <w:rPr>
          <w:b/>
          <w:color w:val="0070C0"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10. Затвердження умов трудових договорів з членами Наглядової ради, встановлення розміру їх вина</w:t>
      </w:r>
      <w:r>
        <w:rPr>
          <w:b/>
          <w:sz w:val="22"/>
          <w:szCs w:val="22"/>
          <w:lang w:val="uk-UA"/>
        </w:rPr>
        <w:t>городи. Затвердження Кошторису (бюджету)  Наглядової ради Товариства</w:t>
      </w:r>
      <w:r>
        <w:rPr>
          <w:b/>
          <w:color w:val="0070C0"/>
          <w:sz w:val="22"/>
          <w:szCs w:val="22"/>
          <w:lang w:val="uk-UA"/>
        </w:rPr>
        <w:t>.</w:t>
      </w:r>
    </w:p>
    <w:p w:rsidR="00000000" w:rsidRDefault="000A5D03">
      <w:pPr>
        <w:jc w:val="both"/>
        <w:rPr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 :</w:t>
      </w:r>
    </w:p>
    <w:p w:rsidR="00000000" w:rsidRDefault="000A5D03">
      <w:pPr>
        <w:jc w:val="both"/>
        <w:outlineLvl w:val="0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10.1. Затвердити умови трудових договорів з Головою та членами Наглядової ради.</w:t>
      </w:r>
    </w:p>
    <w:p w:rsidR="00000000" w:rsidRDefault="000A5D03">
      <w:pPr>
        <w:jc w:val="both"/>
        <w:outlineLvl w:val="0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10.2. Визначити, що винагорода Голові та членам Наглядової ради сплачується відповідно до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 умов трудових договорів згідно Кошторису (бюджету)  Наглядової ради Товариства.</w:t>
      </w:r>
    </w:p>
    <w:p w:rsidR="00000000" w:rsidRDefault="000A5D03">
      <w:pPr>
        <w:tabs>
          <w:tab w:val="num" w:pos="426"/>
        </w:tabs>
        <w:jc w:val="both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10.3. Затвердити Кошторис  (бюджет)  Наглядової ради Товариства на один рік з 29.03.2019 р. до дати проведення наступних річних Загальних зборів Товариства.                   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                      </w:t>
      </w:r>
    </w:p>
    <w:p w:rsidR="00000000" w:rsidRDefault="000A5D03">
      <w:pPr>
        <w:ind w:right="-198"/>
        <w:jc w:val="both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10.4. Доручити Голові Загальних зборів Бевзенко Валерію Федоровичу підписати Кошторис (бюджет)  Наглядової ради від імені Загальних зборів Товариства.</w:t>
      </w:r>
    </w:p>
    <w:p w:rsidR="00000000" w:rsidRDefault="000A5D03">
      <w:pPr>
        <w:spacing w:after="120"/>
        <w:ind w:right="-198"/>
        <w:jc w:val="both"/>
        <w:rPr>
          <w:rFonts w:ascii="Times New Roman CYR" w:hAnsi="Times New Roman CYR" w:cs="Times New Roman CYR"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 xml:space="preserve">10.5. Уповноважити Генерального директора Товариства продовжити </w:t>
      </w:r>
      <w:r>
        <w:rPr>
          <w:rFonts w:ascii="Times New Roman CYR" w:hAnsi="Times New Roman CYR" w:cs="Times New Roman CYR"/>
          <w:bCs/>
          <w:sz w:val="22"/>
          <w:szCs w:val="22"/>
          <w:lang w:val="uk-UA"/>
        </w:rPr>
        <w:t>трудові відносини з Головою та членами Наглядової ради з оплатою згідно штатного розпису на підставі затвердженого Кошторису (бюджету)  Наглядової ради Товариства.</w:t>
      </w:r>
    </w:p>
    <w:p w:rsidR="00000000" w:rsidRDefault="000A5D03">
      <w:pPr>
        <w:jc w:val="both"/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11. Прийняття рішення про попереднє надання згоди на вчинення Товариством значних правочинів</w:t>
      </w:r>
      <w:r>
        <w:rPr>
          <w:b/>
          <w:sz w:val="22"/>
          <w:szCs w:val="22"/>
          <w:lang w:val="uk-UA"/>
        </w:rPr>
        <w:t>.</w:t>
      </w:r>
    </w:p>
    <w:p w:rsidR="00000000" w:rsidRDefault="000A5D03">
      <w:pPr>
        <w:jc w:val="both"/>
        <w:outlineLvl w:val="0"/>
        <w:rPr>
          <w:i/>
          <w:sz w:val="22"/>
          <w:szCs w:val="22"/>
          <w:u w:val="single"/>
          <w:lang w:val="uk-UA"/>
        </w:rPr>
      </w:pPr>
      <w:r>
        <w:rPr>
          <w:i/>
          <w:sz w:val="22"/>
          <w:szCs w:val="22"/>
          <w:u w:val="single"/>
          <w:lang w:val="uk-UA"/>
        </w:rPr>
        <w:t>Проект рішення :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11.1. Попередньо надати згоду на вчинення значних правочинів, які можуть вчинятися  Товариством у ході його поточної господарської діяльності протягом одного року з дня проведення цих Загальних зборів, вартість яких перевищує 25 відсоткі</w:t>
      </w:r>
      <w:r>
        <w:rPr>
          <w:sz w:val="22"/>
          <w:szCs w:val="22"/>
          <w:lang w:val="uk-UA"/>
        </w:rPr>
        <w:t xml:space="preserve">в вартості активів за даними річної фінансової звітності Товариства за 2018 рік, зокрема: 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11.1.1. укладання Товариством значних правочинів (договорів, контрактів, додаткових угод) </w:t>
      </w:r>
      <w:r>
        <w:rPr>
          <w:sz w:val="22"/>
          <w:szCs w:val="22"/>
          <w:lang w:val="uk-UA" w:eastAsia="ru-RU"/>
        </w:rPr>
        <w:t xml:space="preserve">на поставку продукції (вогнетривкої глини). </w:t>
      </w:r>
      <w:r>
        <w:rPr>
          <w:sz w:val="22"/>
          <w:szCs w:val="22"/>
          <w:lang w:val="uk-UA"/>
        </w:rPr>
        <w:t>Гранична сукупна вартість право</w:t>
      </w:r>
      <w:r>
        <w:rPr>
          <w:sz w:val="22"/>
          <w:szCs w:val="22"/>
          <w:lang w:val="uk-UA"/>
        </w:rPr>
        <w:t xml:space="preserve">чинів до 320 000 000,00 гривень (триста двадцять мільйонів гривень 00 копійок) або її еквівалент в іноземній валюті за офіційним курсом Національного банку України, що діятиме на дату вчинення відповідного правочину. 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11.1.2. укладання Товариством значних </w:t>
      </w:r>
      <w:r>
        <w:rPr>
          <w:sz w:val="22"/>
          <w:szCs w:val="22"/>
          <w:lang w:val="uk-UA"/>
        </w:rPr>
        <w:t xml:space="preserve">правочинів (договорів, додаткових угод) </w:t>
      </w:r>
      <w:r>
        <w:rPr>
          <w:sz w:val="22"/>
          <w:szCs w:val="22"/>
          <w:lang w:val="uk-UA" w:eastAsia="ru-RU"/>
        </w:rPr>
        <w:t>на придбання товарі</w:t>
      </w:r>
      <w:r>
        <w:rPr>
          <w:sz w:val="22"/>
          <w:szCs w:val="22"/>
          <w:lang w:val="uk-UA"/>
        </w:rPr>
        <w:t xml:space="preserve">в, робіт та послуг, у тому числі отримання </w:t>
      </w:r>
      <w:r>
        <w:rPr>
          <w:sz w:val="22"/>
          <w:szCs w:val="22"/>
          <w:lang w:val="uk-UA" w:eastAsia="ru-RU"/>
        </w:rPr>
        <w:t>транспортно-експедиційних послуг</w:t>
      </w:r>
      <w:r>
        <w:rPr>
          <w:sz w:val="22"/>
          <w:szCs w:val="22"/>
          <w:lang w:val="uk-UA"/>
        </w:rPr>
        <w:t>, отримання послуг з організації</w:t>
      </w:r>
      <w:r>
        <w:rPr>
          <w:sz w:val="22"/>
          <w:szCs w:val="22"/>
          <w:lang w:val="uk-UA" w:eastAsia="ru-RU"/>
        </w:rPr>
        <w:t xml:space="preserve"> міжнародного перевезення вогнетривкої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 w:eastAsia="ru-RU"/>
        </w:rPr>
        <w:t>глини</w:t>
      </w:r>
      <w:r>
        <w:rPr>
          <w:sz w:val="22"/>
          <w:szCs w:val="22"/>
          <w:lang w:val="uk-UA"/>
        </w:rPr>
        <w:t>,  договорів комісії, кредитів, позик, безвідс</w:t>
      </w:r>
      <w:r>
        <w:rPr>
          <w:sz w:val="22"/>
          <w:szCs w:val="22"/>
          <w:lang w:val="uk-UA"/>
        </w:rPr>
        <w:t>откової поворотної фінансової допомоги, поруки (гарантії), зберігання, застави, оренди та інших господарських правочинів, які пов’язані з діяльністю Товариства і в яких воно виступає будь-якою із сторін. Гранична сукупна вартість усіх правочинів до 190 000</w:t>
      </w:r>
      <w:r>
        <w:rPr>
          <w:sz w:val="22"/>
          <w:szCs w:val="22"/>
          <w:lang w:val="uk-UA"/>
        </w:rPr>
        <w:t> 000,00 гривень (сто дев’яносто мільйонів гривень 00 копійок).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11.2. Надати повноваження Генеральному директору Товариства (або іншій особі за довіреністю), протягом одного року з дати проведення цих Загальних зборів здійснювати всі необхідні дії щодо вчин</w:t>
      </w:r>
      <w:r>
        <w:rPr>
          <w:sz w:val="22"/>
          <w:szCs w:val="22"/>
          <w:lang w:val="uk-UA"/>
        </w:rPr>
        <w:t>ення від імені Товариства правочинів, вказаних в п.п. 11.1.1, 11.1.2. цього рішення.</w:t>
      </w:r>
    </w:p>
    <w:p w:rsidR="00000000" w:rsidRDefault="000A5D03">
      <w:pPr>
        <w:tabs>
          <w:tab w:val="num" w:pos="426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12. Прийняття рішення про схвалення значного правочину, щодо вчинення якого є заінтересованість.</w:t>
      </w:r>
    </w:p>
    <w:p w:rsidR="00000000" w:rsidRDefault="000A5D03">
      <w:pPr>
        <w:tabs>
          <w:tab w:val="left" w:pos="2127"/>
        </w:tabs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Проект рішення: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12.1.  Схвалити укладений значний правочин, щодо вчинення </w:t>
      </w:r>
      <w:r>
        <w:rPr>
          <w:sz w:val="22"/>
          <w:szCs w:val="22"/>
          <w:lang w:val="uk-UA"/>
        </w:rPr>
        <w:t>якого є заінтересованість, вартість якого перевищує 10 відсотків вартості активів за даними річної фінансової звітності Товариства за 2018 рік, з  Товариством з обмеженою відповідальністю «Інтерсервіс» (додаток № 2 від 21.09.2018 р. до договору</w:t>
      </w:r>
      <w:r>
        <w:rPr>
          <w:color w:val="17365D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транспортно</w:t>
      </w:r>
      <w:r>
        <w:rPr>
          <w:sz w:val="22"/>
          <w:szCs w:val="22"/>
          <w:lang w:val="uk-UA"/>
        </w:rPr>
        <w:t>го експедирування № 01/2018 від 30.03.2018, додаток № 1 від 30.03.2018) на отримання транспортно-експедиційних послуг на загальну суму 60 000 000,00 грн.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12.2. Надати повноваження Генеральному директору Товариства (або іншій особі за довіреністю) визначат</w:t>
      </w:r>
      <w:r>
        <w:rPr>
          <w:sz w:val="22"/>
          <w:szCs w:val="22"/>
          <w:lang w:val="uk-UA"/>
        </w:rPr>
        <w:t>и та затверджувати конкретні умови значного правочину, щодо вчинення якого є заінтересованість, та надати повноваження на укладання додаткових угод до нього.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12.3. Для укладення та виконання значних правочинів (додаткових угод), в тому числі щодо якого є з</w:t>
      </w:r>
      <w:r>
        <w:rPr>
          <w:sz w:val="22"/>
          <w:szCs w:val="22"/>
          <w:lang w:val="uk-UA"/>
        </w:rPr>
        <w:t>аінтересованість, на вчинення яких було надано згоду Загальними зборами акціонерів Товариства відповідно до п.п.11.1.1, 11.1.2 та 12.1 не вимагається прийняття будь-якого наступного рішення Загальними зборами акціонерів або Наглядовою радою.</w:t>
      </w:r>
    </w:p>
    <w:p w:rsidR="00000000" w:rsidRDefault="000A5D03">
      <w:pPr>
        <w:jc w:val="both"/>
        <w:rPr>
          <w:sz w:val="22"/>
          <w:szCs w:val="22"/>
          <w:lang w:val="uk-UA"/>
        </w:rPr>
      </w:pPr>
    </w:p>
    <w:p w:rsidR="00000000" w:rsidRDefault="000A5D03">
      <w:pPr>
        <w:tabs>
          <w:tab w:val="num" w:pos="426"/>
        </w:tabs>
        <w:spacing w:after="12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lastRenderedPageBreak/>
        <w:t>Адреса веб-са</w:t>
      </w:r>
      <w:r>
        <w:rPr>
          <w:b/>
          <w:sz w:val="22"/>
          <w:szCs w:val="22"/>
          <w:lang w:val="uk-UA"/>
        </w:rPr>
        <w:t>йту Товариства:  keramprom.at.ua</w:t>
      </w:r>
      <w:r>
        <w:rPr>
          <w:sz w:val="22"/>
          <w:szCs w:val="22"/>
          <w:lang w:val="uk-UA"/>
        </w:rPr>
        <w:t xml:space="preserve"> (у розділі “Інформація»),  на якому розміщено повідомлення про проведення </w:t>
      </w:r>
      <w:r>
        <w:rPr>
          <w:rFonts w:eastAsia="Calibri"/>
          <w:color w:val="000000"/>
          <w:sz w:val="22"/>
          <w:szCs w:val="22"/>
          <w:lang w:val="uk-UA"/>
        </w:rPr>
        <w:t>річних Загальних зборів акціонерів ПрАТ «КЕРАМПРОМ»,</w:t>
      </w:r>
      <w:r>
        <w:rPr>
          <w:sz w:val="22"/>
          <w:szCs w:val="22"/>
          <w:lang w:val="uk-UA"/>
        </w:rPr>
        <w:t xml:space="preserve"> інформація з проектом рішень щодо кожного з питань, включених до проекту </w:t>
      </w:r>
      <w:r>
        <w:rPr>
          <w:sz w:val="22"/>
          <w:szCs w:val="22"/>
          <w:lang w:val="uk-UA"/>
        </w:rPr>
        <w:t xml:space="preserve">порядку денного, а також </w:t>
      </w:r>
      <w:r>
        <w:rPr>
          <w:b/>
          <w:sz w:val="22"/>
          <w:szCs w:val="22"/>
          <w:lang w:val="uk-UA"/>
        </w:rPr>
        <w:t>інформація, зазначена в ч.4 ст.35 Закону України «Про акціонерні товариства»: </w:t>
      </w:r>
    </w:p>
    <w:p w:rsidR="00000000" w:rsidRDefault="000A5D03">
      <w:pPr>
        <w:tabs>
          <w:tab w:val="num" w:pos="426"/>
        </w:tabs>
        <w:jc w:val="both"/>
        <w:rPr>
          <w:rFonts w:eastAsia="Calibri"/>
          <w:b/>
          <w:color w:val="000000"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1. Загальна кількість акцій та голосуючих акцій станом на дату складання переліку осіб, яким надсилається повідомлення про проведення</w:t>
      </w:r>
      <w:r>
        <w:rPr>
          <w:rFonts w:eastAsia="Calibri"/>
          <w:b/>
          <w:color w:val="000000"/>
          <w:sz w:val="22"/>
          <w:szCs w:val="22"/>
          <w:lang w:val="uk-UA"/>
        </w:rPr>
        <w:t xml:space="preserve"> Загальних зборів:</w:t>
      </w:r>
    </w:p>
    <w:p w:rsidR="00000000" w:rsidRDefault="000A5D03">
      <w:pPr>
        <w:tabs>
          <w:tab w:val="num" w:pos="42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Станом на </w:t>
      </w:r>
      <w:r>
        <w:rPr>
          <w:b/>
          <w:sz w:val="22"/>
          <w:szCs w:val="22"/>
          <w:lang w:val="uk-UA"/>
        </w:rPr>
        <w:t>11.02.2019 року</w:t>
      </w:r>
      <w:r>
        <w:rPr>
          <w:sz w:val="22"/>
          <w:szCs w:val="22"/>
          <w:lang w:val="uk-UA"/>
        </w:rPr>
        <w:t xml:space="preserve"> загальна кількість: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- простих іменних акцій складає</w:t>
      </w:r>
      <w:r>
        <w:rPr>
          <w:rFonts w:eastAsia="Calibri"/>
          <w:color w:val="000000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314 027 штук;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- голосуючих акцій складає 314 027 простих іменних акцій.</w:t>
      </w:r>
    </w:p>
    <w:p w:rsidR="00000000" w:rsidRDefault="000A5D03">
      <w:pPr>
        <w:pStyle w:val="Defaul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2. Перелік документів, що має надати акціонер (представник акціонера) для його участі у Загальних зборах:</w:t>
      </w:r>
    </w:p>
    <w:p w:rsidR="00000000" w:rsidRDefault="000A5D03">
      <w:pPr>
        <w:pStyle w:val="Default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Для участі у Загальних зборах акціонерам потрібно мати документ, що посвідчує особу акціонера (паспорт). Представникам акціонерів, крім того, необхідно мати документ, що відповідно до законодавства надає право представляти інтереси акціонера на річних Зага</w:t>
      </w:r>
      <w:r>
        <w:rPr>
          <w:sz w:val="22"/>
          <w:szCs w:val="22"/>
          <w:lang w:val="uk-UA"/>
        </w:rPr>
        <w:t>льних зборах акціонерів ПрАТ «КЕРАМПРОМ» (довіреність або документи, що підтверджують право особи діяти без довіреності).</w:t>
      </w:r>
    </w:p>
    <w:p w:rsidR="00000000" w:rsidRDefault="000A5D03">
      <w:pPr>
        <w:pStyle w:val="Default"/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3.</w:t>
      </w:r>
      <w:r>
        <w:rPr>
          <w:sz w:val="22"/>
          <w:szCs w:val="22"/>
          <w:lang w:val="uk-UA"/>
        </w:rPr>
        <w:t> Проекти рішень з питань, включених до порядку денного Загальних зборів, запропоновані  акціонерами, які володіють більш як 5 відсот</w:t>
      </w:r>
      <w:r>
        <w:rPr>
          <w:sz w:val="22"/>
          <w:szCs w:val="22"/>
          <w:lang w:val="uk-UA"/>
        </w:rPr>
        <w:t>ками акцій Товариства, будуть розміщуватися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на власному веб-сайті Товариства протягом двох робочих днів після їх отримання Товариством.</w:t>
      </w:r>
    </w:p>
    <w:p w:rsidR="00000000" w:rsidRDefault="000A5D03">
      <w:pPr>
        <w:tabs>
          <w:tab w:val="num" w:pos="426"/>
        </w:tabs>
        <w:spacing w:after="120"/>
        <w:jc w:val="both"/>
        <w:rPr>
          <w:rFonts w:eastAsia="Calibri"/>
          <w:color w:val="000000"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4.</w:t>
      </w:r>
      <w:r>
        <w:rPr>
          <w:sz w:val="22"/>
          <w:szCs w:val="22"/>
          <w:lang w:val="uk-UA"/>
        </w:rPr>
        <w:t xml:space="preserve"> Інформація про загальну кількість акцій та голосуючих акцій станом на дату складання переліку </w:t>
      </w:r>
      <w:r>
        <w:rPr>
          <w:sz w:val="22"/>
          <w:szCs w:val="22"/>
          <w:lang w:val="uk-UA"/>
        </w:rPr>
        <w:t>акціонерів, які мають право на участь у</w:t>
      </w:r>
      <w:r>
        <w:rPr>
          <w:rFonts w:eastAsia="Calibri"/>
          <w:color w:val="000000"/>
          <w:sz w:val="22"/>
          <w:szCs w:val="22"/>
          <w:lang w:val="uk-UA"/>
        </w:rPr>
        <w:t xml:space="preserve"> Загальних зборах буде розміщено не пізніше 24 години останнього робочого дня, що передує дню проведення </w:t>
      </w:r>
      <w:r>
        <w:rPr>
          <w:sz w:val="22"/>
          <w:szCs w:val="22"/>
          <w:lang w:val="uk-UA"/>
        </w:rPr>
        <w:t>Загальних зборів на веб-сайті Товариства.</w:t>
      </w:r>
    </w:p>
    <w:p w:rsidR="00000000" w:rsidRDefault="000A5D03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Порядок ознайомлення акціонерів з матеріалами (документами) щодо поряд</w:t>
      </w:r>
      <w:r>
        <w:rPr>
          <w:b/>
          <w:sz w:val="22"/>
          <w:szCs w:val="22"/>
          <w:lang w:val="uk-UA"/>
        </w:rPr>
        <w:t>ку денного річних Загальних зборів та відповідальної особи.</w:t>
      </w:r>
    </w:p>
    <w:p w:rsidR="00000000" w:rsidRDefault="000A5D03">
      <w:pPr>
        <w:jc w:val="both"/>
        <w:rPr>
          <w:rFonts w:eastAsia="Calibri"/>
          <w:color w:val="000000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дати надіслання повідомлення про проведення річних Загальних зборів акціонерів Товариства до дати проведення річних Загальних зборів акціонери Товариства та їх повноважні представники можуть о</w:t>
      </w:r>
      <w:r>
        <w:rPr>
          <w:sz w:val="22"/>
          <w:szCs w:val="22"/>
          <w:lang w:val="uk-UA"/>
        </w:rPr>
        <w:t xml:space="preserve">знайомитися 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з матеріалами (документами), необхідними для прийняття рішень з питань порядку денного річних Загальних зборів акціонерів у робочі дні (понеділок – п’ятниця)  з 08.00 до 16.30 годин  (обідня перерва з 12.00  до 12.30 годин) в кабінеті бухгалте</w:t>
      </w:r>
      <w:r>
        <w:rPr>
          <w:sz w:val="22"/>
          <w:szCs w:val="22"/>
          <w:lang w:val="uk-UA"/>
        </w:rPr>
        <w:t>рії Товариства за адресом: 85160, Донецька область, Костянтинівський район, с. Іванопілля,  вул. Торецька, 34, другий поверх,  а в день проведення  річних Загальних зборів Товариства – також у місці їх проведення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за адресом: Донецька область, Костянтинівсь</w:t>
      </w:r>
      <w:r>
        <w:rPr>
          <w:sz w:val="22"/>
          <w:szCs w:val="22"/>
          <w:lang w:val="uk-UA"/>
        </w:rPr>
        <w:t>кий район, с. Софіївка (с. Артемівка), вул. Дружби, 2, кімната № 1.</w:t>
      </w:r>
      <w:r>
        <w:rPr>
          <w:b/>
          <w:sz w:val="22"/>
          <w:szCs w:val="22"/>
          <w:lang w:val="uk-UA"/>
        </w:rPr>
        <w:t xml:space="preserve"> </w:t>
      </w:r>
      <w:r>
        <w:rPr>
          <w:b/>
          <w:color w:val="0000FF"/>
          <w:sz w:val="22"/>
          <w:szCs w:val="22"/>
          <w:lang w:val="uk-UA"/>
        </w:rPr>
        <w:t xml:space="preserve">  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Посадова особа відповідальна за порядок ознайомлення акціонерів з матеріалами (документами) - Генеральний директор Бевзенко Борис Федорович. Телефон для довідок: (050) 423-39-61, (050) </w:t>
      </w:r>
      <w:r>
        <w:rPr>
          <w:sz w:val="22"/>
          <w:szCs w:val="22"/>
          <w:lang w:val="uk-UA"/>
        </w:rPr>
        <w:t>426-68-76.</w:t>
      </w:r>
    </w:p>
    <w:p w:rsidR="00000000" w:rsidRDefault="000A5D03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Права, надані акціонерам відповідно до вимог ст.36, 38 Закону України «Про акціонерні товариства», якими вони можуть користуватися після отримання повідомлення про проведення річних Загальних зборів, а також строк, протягом якого такі права можу</w:t>
      </w:r>
      <w:r>
        <w:rPr>
          <w:b/>
          <w:sz w:val="22"/>
          <w:szCs w:val="22"/>
          <w:lang w:val="uk-UA"/>
        </w:rPr>
        <w:t>ть використовуватися: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Акціонери мають право від</w:t>
      </w:r>
      <w:r>
        <w:rPr>
          <w:sz w:val="22"/>
          <w:szCs w:val="22"/>
          <w:lang w:val="uk-UA"/>
        </w:rPr>
        <w:t xml:space="preserve"> дати надсилання повідомлення до дати проведення  Загальних зборів та в день проведення Загальних зборів ознайомитися 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з матеріалами (документами), необхідними для прийняття рішень з питань порядку денног</w:t>
      </w:r>
      <w:r>
        <w:rPr>
          <w:sz w:val="22"/>
          <w:szCs w:val="22"/>
          <w:lang w:val="uk-UA"/>
        </w:rPr>
        <w:t>о річних Загальних зборів у встановленому вище порядку.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 w:eastAsia="ru-RU"/>
        </w:rPr>
        <w:t xml:space="preserve">     Отримувати  письмові відповіді на письмові запитання  щодо питань, включених до проекту порядку денного та порядку денного річних Загальних зборів Товариства до дати проведення Загальних зборів. </w:t>
      </w:r>
      <w:r>
        <w:rPr>
          <w:sz w:val="22"/>
          <w:szCs w:val="22"/>
          <w:lang w:val="uk-UA" w:eastAsia="ru-RU"/>
        </w:rPr>
        <w:t>Товариство може надати одну загальну відповідь на всі запитання однакового змісту.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Вносити пропозиції щодо питань, включених до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проекту порядку денного Загальних зборів Товариства, а також щодо нових кандидатів до складу органів Товариства, кількість </w:t>
      </w:r>
      <w:r>
        <w:rPr>
          <w:sz w:val="22"/>
          <w:szCs w:val="22"/>
          <w:lang w:val="uk-UA"/>
        </w:rPr>
        <w:t>яких не може перевищувати кількісного складу кожного з органів.</w:t>
      </w:r>
    </w:p>
    <w:p w:rsidR="00000000" w:rsidRDefault="000A5D03">
      <w:pPr>
        <w:jc w:val="both"/>
        <w:rPr>
          <w:b/>
          <w:color w:val="000000"/>
          <w:sz w:val="22"/>
          <w:szCs w:val="22"/>
          <w:shd w:val="clear" w:color="auto" w:fill="FFFFFF"/>
          <w:lang w:val="uk-UA"/>
        </w:rPr>
      </w:pPr>
      <w:r>
        <w:rPr>
          <w:sz w:val="22"/>
          <w:szCs w:val="22"/>
          <w:lang w:val="uk-UA"/>
        </w:rPr>
        <w:t xml:space="preserve">     Пропозиції, оформлені у відповідності до вимог Закону України «Про акціонерні товариства», вносяться не пізніше ніж за 20 днів до дати проведення річних Загальних зборів Товариства, а щод</w:t>
      </w:r>
      <w:r>
        <w:rPr>
          <w:sz w:val="22"/>
          <w:szCs w:val="22"/>
          <w:lang w:val="uk-UA"/>
        </w:rPr>
        <w:t>о кандидатів до складу органів Товариства - не пізніше ніж за сім днів до дати проведення річних Загальних зборів Товариства.</w:t>
      </w:r>
    </w:p>
    <w:p w:rsidR="00000000" w:rsidRDefault="000A5D03">
      <w:pPr>
        <w:jc w:val="both"/>
        <w:rPr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shd w:val="clear" w:color="auto" w:fill="FFFFFF"/>
          <w:lang w:val="uk-UA"/>
        </w:rPr>
        <w:t xml:space="preserve">     </w:t>
      </w:r>
      <w:r>
        <w:rPr>
          <w:color w:val="000000"/>
          <w:sz w:val="22"/>
          <w:szCs w:val="22"/>
          <w:shd w:val="clear" w:color="auto" w:fill="FFFFFF"/>
          <w:lang w:val="uk-UA"/>
        </w:rPr>
        <w:t xml:space="preserve">Пропозиції щодо включення нових питань до проекту порядку денного повинні містити відповідні проекти рішень з цих питань. </w:t>
      </w:r>
      <w:r>
        <w:rPr>
          <w:sz w:val="22"/>
          <w:szCs w:val="22"/>
          <w:lang w:val="uk-UA"/>
        </w:rPr>
        <w:t xml:space="preserve"> 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Пропозиція до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проекту порядку денного Загальних зборів Товариства подається письмовій формі із зазначенням прізвища (найменування) акціонера, який її вносить, кількості типу та/або класу належних йому акцій, змісту пропозиції до питання та/або проекту </w:t>
      </w:r>
      <w:r>
        <w:rPr>
          <w:sz w:val="22"/>
          <w:szCs w:val="22"/>
          <w:lang w:val="uk-UA"/>
        </w:rPr>
        <w:t>рішення, а також  кількості типу та/або класу акцій, що належать кандидату, який пропонується  цим акціонером до складу органів Товариства.</w:t>
      </w:r>
    </w:p>
    <w:p w:rsidR="00000000" w:rsidRDefault="000A5D03">
      <w:pPr>
        <w:jc w:val="both"/>
        <w:rPr>
          <w:b/>
          <w:color w:val="7030A0"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Порядок участі та голосування на Загальних зборах за довіреністю:</w:t>
      </w:r>
    </w:p>
    <w:p w:rsidR="00000000" w:rsidRDefault="000A5D03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lastRenderedPageBreak/>
        <w:t xml:space="preserve">     </w:t>
      </w:r>
      <w:r>
        <w:rPr>
          <w:color w:val="000000"/>
          <w:sz w:val="22"/>
          <w:szCs w:val="22"/>
          <w:lang w:val="uk-UA"/>
        </w:rPr>
        <w:t xml:space="preserve">Представником акціонера на Загальних зборах Товариства може бути фізична особа або уповноважена особа юридичної особи. </w:t>
      </w:r>
    </w:p>
    <w:p w:rsidR="00000000" w:rsidRDefault="000A5D03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Посадові особи органів Товариства та їх афілійовані особи не можуть бути представниками інших акціонерів Товариства на Загальних зб</w:t>
      </w:r>
      <w:r>
        <w:rPr>
          <w:color w:val="000000"/>
          <w:sz w:val="22"/>
          <w:szCs w:val="22"/>
          <w:lang w:val="uk-UA"/>
        </w:rPr>
        <w:t xml:space="preserve">орах. </w:t>
      </w:r>
    </w:p>
    <w:p w:rsidR="00000000" w:rsidRDefault="000A5D03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Акціонер має право призначити свого представника постійно або на певний строк. Акціонер має право надати довіреність на право участі та голосування на Загальних зборах декільком своїм представникам.</w:t>
      </w:r>
    </w:p>
    <w:p w:rsidR="00000000" w:rsidRDefault="000A5D03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Акціонер має право у будь-який момент  д</w:t>
      </w:r>
      <w:r>
        <w:rPr>
          <w:color w:val="000000"/>
          <w:sz w:val="22"/>
          <w:szCs w:val="22"/>
          <w:lang w:val="uk-UA"/>
        </w:rPr>
        <w:t>о закінчення строку, відведеного на реєстрацію учасників зборів, замінити свого представника, повідомивши про це реєстраційну комісію та Генерального директора Товариства, або взяти участь у річних Загальних зборах акціонерів Товариства особисто.</w:t>
      </w:r>
    </w:p>
    <w:p w:rsidR="00000000" w:rsidRDefault="000A5D03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Дові</w:t>
      </w:r>
      <w:r>
        <w:rPr>
          <w:color w:val="000000"/>
          <w:sz w:val="22"/>
          <w:szCs w:val="22"/>
          <w:lang w:val="uk-UA"/>
        </w:rPr>
        <w:t xml:space="preserve">реність на право участі та голосування на Загальних зборах, видана фізичною особою, посвідчується  нотаріусом або іншими посадовими особами, які вчиняють нотаріальні дії, а також може посвідчуватися депозитарною установою у встановленому НКЦПФР  порядку. </w:t>
      </w:r>
    </w:p>
    <w:p w:rsidR="00000000" w:rsidRDefault="000A5D03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Довіреність на право участі та голосування на Загальних зборах від імені юридичної особи видається її органом або іншою особою, уповноваженою на це її установчими документами.</w:t>
      </w:r>
    </w:p>
    <w:p w:rsidR="00000000" w:rsidRDefault="000A5D03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Довіреність на право участі та голосування на Загальних зборах Товарис</w:t>
      </w:r>
      <w:r>
        <w:rPr>
          <w:color w:val="000000"/>
          <w:sz w:val="22"/>
          <w:szCs w:val="22"/>
          <w:lang w:val="uk-UA"/>
        </w:rPr>
        <w:t>тва може містити завдання щодо голосування, тобто перелік питань, порядку денного Загальних зборів із зазначенням того, як і за яке (проти якого) рішення потрібно проголосувати. Під час голосування на Загальних зборах представник повинен голосувати саме та</w:t>
      </w:r>
      <w:r>
        <w:rPr>
          <w:color w:val="000000"/>
          <w:sz w:val="22"/>
          <w:szCs w:val="22"/>
          <w:lang w:val="uk-UA"/>
        </w:rPr>
        <w:t xml:space="preserve">к,  як передбачено завданням щодо голосування. Якщо довіреність не містить завдання щодо голосування,  представник вирішує всі питання щодо голосування на Загальних зборах акціонерів на свій розсуд. </w:t>
      </w:r>
    </w:p>
    <w:p w:rsidR="00000000" w:rsidRDefault="000A5D03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en-US"/>
        </w:rPr>
      </w:pPr>
    </w:p>
    <w:p w:rsidR="00000000" w:rsidRDefault="000A5D03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ОСНОВНІ ПОКАЗНИКИ</w:t>
      </w:r>
    </w:p>
    <w:p w:rsidR="00000000" w:rsidRDefault="000A5D03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 xml:space="preserve"> фінансово-господарської діяльності </w:t>
      </w:r>
    </w:p>
    <w:p w:rsidR="00000000" w:rsidRDefault="000A5D03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ПРИВАТНОГО АКЦІОНЕРНОГО ТОВАРИСТВА «КЕРАМПРОМ» (тис. грн)</w:t>
      </w:r>
    </w:p>
    <w:p w:rsidR="00000000" w:rsidRDefault="000A5D03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uk-UA"/>
        </w:rPr>
      </w:pPr>
    </w:p>
    <w:tbl>
      <w:tblPr>
        <w:tblW w:w="4931" w:type="pct"/>
        <w:tblInd w:w="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3"/>
        <w:gridCol w:w="1685"/>
        <w:gridCol w:w="1780"/>
      </w:tblGrid>
      <w:tr w:rsidR="00000000">
        <w:tc>
          <w:tcPr>
            <w:tcW w:w="69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Період</w:t>
            </w:r>
          </w:p>
        </w:tc>
      </w:tr>
      <w:tr w:rsidR="00000000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000" w:rsidRDefault="000A5D03">
            <w:pPr>
              <w:suppressAutoHyphens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2018 рік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2017 рік</w:t>
            </w:r>
          </w:p>
        </w:tc>
      </w:tr>
      <w:tr w:rsidR="00000000">
        <w:trPr>
          <w:trHeight w:val="330"/>
        </w:trPr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Усього активів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119 932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131 728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Основні засоби (за залишковою вартістю)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16 184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18 990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Запаси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39 640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24 440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Сумарна дебіторська </w:t>
            </w:r>
            <w:r>
              <w:rPr>
                <w:sz w:val="22"/>
                <w:szCs w:val="22"/>
                <w:lang w:val="uk-UA"/>
              </w:rPr>
              <w:t>заборгованість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42 797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74 160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Гроші та їх еквіваленти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12 280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10 494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Нерозподілений прибуток (непокритий збиток)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62 293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94 034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Власний капітал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91 906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123 647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Зареєстрований статутний капітал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25 750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25 750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Довгострокові зобов'язання і забезпечення 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3 673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1 167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Поточні зобов'язання  і забезпечення                                         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24 353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6 914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Чистий фінансовий результат: прибуток (збиток)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31 692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69 225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Середньорічна кількість акцій (шт.)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314 027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314 027</w:t>
            </w:r>
          </w:p>
        </w:tc>
      </w:tr>
      <w:tr w:rsidR="00000000">
        <w:tc>
          <w:tcPr>
            <w:tcW w:w="6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Чистий прибуток (збиток) на одну просту а</w:t>
            </w:r>
            <w:r>
              <w:rPr>
                <w:sz w:val="22"/>
                <w:szCs w:val="22"/>
                <w:lang w:val="uk-UA"/>
              </w:rPr>
              <w:t>кцію (грн.)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100,92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0A5D03">
            <w:pPr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220,44</w:t>
            </w:r>
          </w:p>
        </w:tc>
      </w:tr>
    </w:tbl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</w:p>
    <w:p w:rsidR="00000000" w:rsidRDefault="000A5D03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Наглядова рада </w:t>
      </w:r>
      <w:r>
        <w:rPr>
          <w:sz w:val="22"/>
          <w:szCs w:val="22"/>
          <w:lang w:val="uk-UA"/>
        </w:rPr>
        <w:t>Товариства ПрАТ «КЕРАМПРОМ»</w:t>
      </w:r>
    </w:p>
    <w:p w:rsidR="000A5D03" w:rsidRDefault="000A5D03">
      <w:pPr>
        <w:spacing w:after="120"/>
        <w:jc w:val="both"/>
        <w:rPr>
          <w:sz w:val="22"/>
          <w:szCs w:val="22"/>
          <w:lang w:val="uk-UA"/>
        </w:rPr>
      </w:pPr>
    </w:p>
    <w:sectPr w:rsidR="000A5D03">
      <w:footnotePr>
        <w:pos w:val="beneathText"/>
      </w:footnotePr>
      <w:pgSz w:w="12240" w:h="15840"/>
      <w:pgMar w:top="567" w:right="567" w:bottom="567" w:left="1134" w:header="0" w:footer="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5B5886"/>
    <w:rsid w:val="000A5D03"/>
    <w:rsid w:val="005B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54B76-0C0D-49D8-936B-26B24743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annotation reference" w:uiPriority="99"/>
    <w:lsdException w:name="List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pPr>
      <w:keepNext/>
      <w:tabs>
        <w:tab w:val="num" w:pos="432"/>
      </w:tabs>
      <w:ind w:left="432" w:hanging="432"/>
      <w:jc w:val="both"/>
      <w:outlineLvl w:val="0"/>
    </w:pPr>
    <w:rPr>
      <w:rFonts w:eastAsiaTheme="minorEastAsia"/>
      <w:sz w:val="28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/>
      <w:b/>
      <w:i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eastAsiaTheme="minorEastAsia"/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rFonts w:eastAsiaTheme="minorEastAsia"/>
      <w:b/>
      <w:bCs/>
      <w:sz w:val="22"/>
    </w:rPr>
  </w:style>
  <w:style w:type="paragraph" w:styleId="5">
    <w:name w:val="heading 5"/>
    <w:basedOn w:val="a"/>
    <w:next w:val="a"/>
    <w:link w:val="50"/>
    <w:qFormat/>
    <w:pPr>
      <w:keepNext/>
      <w:suppressAutoHyphens w:val="0"/>
      <w:jc w:val="center"/>
      <w:outlineLvl w:val="4"/>
    </w:pPr>
    <w:rPr>
      <w:rFonts w:eastAsiaTheme="minorEastAsia"/>
      <w:b/>
      <w:bCs/>
      <w:szCs w:val="20"/>
      <w:lang w:eastAsia="en-US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rFonts w:eastAsiaTheme="minorEastAsia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ar-SA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ar-SA"/>
    </w:rPr>
  </w:style>
  <w:style w:type="character" w:customStyle="1" w:styleId="30">
    <w:name w:val="Заголовок 3 Знак"/>
    <w:basedOn w:val="a0"/>
    <w:link w:val="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ar-SA"/>
    </w:rPr>
  </w:style>
  <w:style w:type="paragraph" w:customStyle="1" w:styleId="msonormal0">
    <w:name w:val="msonormal"/>
    <w:basedOn w:val="a"/>
    <w:uiPriority w:val="99"/>
    <w:pPr>
      <w:suppressAutoHyphens w:val="0"/>
      <w:spacing w:before="100" w:beforeAutospacing="1" w:after="100" w:afterAutospacing="1"/>
    </w:pPr>
    <w:rPr>
      <w:lang w:val="uk-UA" w:eastAsia="en-US"/>
    </w:rPr>
  </w:style>
  <w:style w:type="paragraph" w:styleId="a5">
    <w:name w:val="Normal (Web)"/>
    <w:basedOn w:val="a"/>
    <w:uiPriority w:val="99"/>
    <w:pPr>
      <w:suppressAutoHyphens w:val="0"/>
      <w:spacing w:before="100" w:beforeAutospacing="1" w:after="100" w:afterAutospacing="1"/>
    </w:pPr>
    <w:rPr>
      <w:lang w:val="uk-UA" w:eastAsia="en-US"/>
    </w:rPr>
  </w:style>
  <w:style w:type="paragraph" w:styleId="a6">
    <w:name w:val="footnote text"/>
    <w:basedOn w:val="a"/>
    <w:link w:val="a7"/>
    <w:uiPriority w:val="99"/>
    <w:semiHidden/>
    <w:rPr>
      <w:sz w:val="20"/>
      <w:szCs w:val="20"/>
    </w:rPr>
  </w:style>
  <w:style w:type="character" w:customStyle="1" w:styleId="a7">
    <w:name w:val="Текст сноски Знак"/>
    <w:basedOn w:val="a0"/>
    <w:link w:val="a6"/>
    <w:rPr>
      <w:lang w:val="ru-RU" w:eastAsia="ar-SA"/>
    </w:rPr>
  </w:style>
  <w:style w:type="paragraph" w:styleId="a8">
    <w:name w:val="annotation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Pr>
      <w:lang w:val="ru-RU" w:eastAsia="ar-SA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Cs w:val="20"/>
    </w:rPr>
  </w:style>
  <w:style w:type="character" w:customStyle="1" w:styleId="ab">
    <w:name w:val="Верхний колонтитул Знак"/>
    <w:basedOn w:val="a0"/>
    <w:link w:val="aa"/>
    <w:rPr>
      <w:sz w:val="24"/>
      <w:szCs w:val="24"/>
      <w:lang w:val="ru-RU" w:eastAsia="ar-SA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Pr>
      <w:sz w:val="24"/>
      <w:lang w:eastAsia="ar-SA"/>
    </w:rPr>
  </w:style>
  <w:style w:type="paragraph" w:styleId="11">
    <w:name w:val="index 1"/>
    <w:basedOn w:val="a"/>
    <w:next w:val="a"/>
    <w:autoRedefine/>
    <w:pPr>
      <w:ind w:left="240" w:hanging="240"/>
    </w:pPr>
  </w:style>
  <w:style w:type="paragraph" w:styleId="ae">
    <w:name w:val="index heading"/>
    <w:basedOn w:val="a"/>
    <w:uiPriority w:val="99"/>
    <w:semiHidden/>
    <w:pPr>
      <w:suppressLineNumbers/>
    </w:pPr>
    <w:rPr>
      <w:rFonts w:cs="Tahoma"/>
    </w:rPr>
  </w:style>
  <w:style w:type="paragraph" w:styleId="af">
    <w:name w:val="Body Text"/>
    <w:basedOn w:val="a"/>
    <w:link w:val="af0"/>
    <w:uiPriority w:val="99"/>
    <w:pPr>
      <w:autoSpaceDE w:val="0"/>
      <w:spacing w:after="120"/>
      <w:jc w:val="both"/>
    </w:pPr>
    <w:rPr>
      <w:szCs w:val="20"/>
    </w:rPr>
  </w:style>
  <w:style w:type="character" w:customStyle="1" w:styleId="af0">
    <w:name w:val="Основной текст Знак"/>
    <w:basedOn w:val="a0"/>
    <w:link w:val="af"/>
    <w:locked/>
    <w:rPr>
      <w:sz w:val="24"/>
      <w:lang w:eastAsia="ar-SA"/>
    </w:rPr>
  </w:style>
  <w:style w:type="paragraph" w:styleId="af1">
    <w:name w:val="List"/>
    <w:basedOn w:val="af"/>
    <w:uiPriority w:val="99"/>
    <w:rPr>
      <w:rFonts w:cs="Tahoma"/>
    </w:rPr>
  </w:style>
  <w:style w:type="paragraph" w:styleId="af2">
    <w:name w:val="Title"/>
    <w:basedOn w:val="a"/>
    <w:link w:val="af3"/>
    <w:uiPriority w:val="99"/>
    <w:qFormat/>
    <w:pPr>
      <w:suppressLineNumbers/>
      <w:spacing w:before="120" w:after="120"/>
    </w:pPr>
    <w:rPr>
      <w:rFonts w:cs="Tahoma"/>
      <w:i/>
      <w:iCs/>
    </w:rPr>
  </w:style>
  <w:style w:type="character" w:customStyle="1" w:styleId="af3">
    <w:name w:val="Заголовок Знак"/>
    <w:basedOn w:val="a0"/>
    <w:link w:val="af2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ar-SA"/>
    </w:rPr>
  </w:style>
  <w:style w:type="paragraph" w:styleId="af4">
    <w:name w:val="Body Text Indent"/>
    <w:basedOn w:val="a"/>
    <w:link w:val="af5"/>
    <w:uiPriority w:val="99"/>
    <w:pPr>
      <w:ind w:firstLine="720"/>
      <w:jc w:val="both"/>
    </w:pPr>
  </w:style>
  <w:style w:type="character" w:customStyle="1" w:styleId="af5">
    <w:name w:val="Основной текст с отступом Знак"/>
    <w:basedOn w:val="a0"/>
    <w:link w:val="af4"/>
    <w:rPr>
      <w:sz w:val="24"/>
      <w:szCs w:val="24"/>
      <w:lang w:val="ru-RU" w:eastAsia="ar-SA"/>
    </w:rPr>
  </w:style>
  <w:style w:type="paragraph" w:styleId="af6">
    <w:name w:val="Subtitle"/>
    <w:basedOn w:val="a"/>
    <w:next w:val="af"/>
    <w:link w:val="af7"/>
    <w:uiPriority w:val="99"/>
    <w:qFormat/>
    <w:pPr>
      <w:jc w:val="center"/>
    </w:pPr>
    <w:rPr>
      <w:b/>
      <w:szCs w:val="20"/>
    </w:rPr>
  </w:style>
  <w:style w:type="character" w:customStyle="1" w:styleId="af7">
    <w:name w:val="Подзаголовок Знак"/>
    <w:basedOn w:val="a0"/>
    <w:link w:val="af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eastAsia="ar-SA"/>
    </w:rPr>
  </w:style>
  <w:style w:type="paragraph" w:styleId="21">
    <w:name w:val="Body Text 2"/>
    <w:basedOn w:val="a"/>
    <w:link w:val="22"/>
    <w:uiPriority w:val="99"/>
    <w:pPr>
      <w:spacing w:after="120"/>
      <w:jc w:val="both"/>
    </w:pPr>
    <w:rPr>
      <w:i/>
      <w:iCs/>
    </w:rPr>
  </w:style>
  <w:style w:type="character" w:customStyle="1" w:styleId="22">
    <w:name w:val="Основной текст 2 Знак"/>
    <w:basedOn w:val="a0"/>
    <w:link w:val="21"/>
    <w:rPr>
      <w:sz w:val="24"/>
      <w:szCs w:val="24"/>
      <w:lang w:val="ru-RU" w:eastAsia="ar-SA"/>
    </w:rPr>
  </w:style>
  <w:style w:type="paragraph" w:styleId="31">
    <w:name w:val="Body Text 3"/>
    <w:basedOn w:val="a"/>
    <w:link w:val="32"/>
    <w:uiPriority w:val="99"/>
    <w:pPr>
      <w:spacing w:after="120"/>
      <w:jc w:val="both"/>
    </w:pPr>
    <w:rPr>
      <w:i/>
      <w:iCs/>
      <w:color w:val="FF0000"/>
    </w:rPr>
  </w:style>
  <w:style w:type="character" w:customStyle="1" w:styleId="32">
    <w:name w:val="Основной текст 3 Знак"/>
    <w:basedOn w:val="a0"/>
    <w:link w:val="31"/>
    <w:rPr>
      <w:sz w:val="16"/>
      <w:szCs w:val="16"/>
      <w:lang w:val="ru-RU" w:eastAsia="ar-SA"/>
    </w:rPr>
  </w:style>
  <w:style w:type="paragraph" w:styleId="23">
    <w:name w:val="Body Text Indent 2"/>
    <w:basedOn w:val="a"/>
    <w:link w:val="24"/>
    <w:uiPriority w:val="99"/>
    <w:pPr>
      <w:suppressAutoHyphens w:val="0"/>
      <w:ind w:firstLine="708"/>
      <w:jc w:val="both"/>
    </w:pPr>
    <w:rPr>
      <w:sz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rPr>
      <w:sz w:val="24"/>
      <w:szCs w:val="24"/>
      <w:lang w:val="ru-RU" w:eastAsia="ar-SA"/>
    </w:rPr>
  </w:style>
  <w:style w:type="paragraph" w:styleId="33">
    <w:name w:val="Body Text Indent 3"/>
    <w:basedOn w:val="a"/>
    <w:link w:val="34"/>
    <w:uiPriority w:val="99"/>
    <w:pPr>
      <w:suppressAutoHyphens w:val="0"/>
      <w:ind w:left="360"/>
      <w:jc w:val="both"/>
    </w:pPr>
    <w:rPr>
      <w:sz w:val="22"/>
      <w:lang w:eastAsia="en-US"/>
    </w:rPr>
  </w:style>
  <w:style w:type="character" w:customStyle="1" w:styleId="34">
    <w:name w:val="Основной текст с отступом 3 Знак"/>
    <w:basedOn w:val="a0"/>
    <w:link w:val="33"/>
    <w:rPr>
      <w:sz w:val="16"/>
      <w:szCs w:val="16"/>
      <w:lang w:val="ru-RU" w:eastAsia="ar-SA"/>
    </w:rPr>
  </w:style>
  <w:style w:type="paragraph" w:styleId="af8">
    <w:name w:val="Plain Text"/>
    <w:basedOn w:val="a"/>
    <w:link w:val="af9"/>
    <w:uiPriority w:val="99"/>
    <w:pPr>
      <w:suppressAutoHyphens w:val="0"/>
    </w:pPr>
    <w:rPr>
      <w:rFonts w:ascii="Courier New" w:hAnsi="Courier New"/>
      <w:sz w:val="20"/>
      <w:szCs w:val="20"/>
      <w:lang w:eastAsia="en-US"/>
    </w:rPr>
  </w:style>
  <w:style w:type="character" w:customStyle="1" w:styleId="af9">
    <w:name w:val="Текст Знак"/>
    <w:basedOn w:val="a0"/>
    <w:link w:val="af8"/>
    <w:rPr>
      <w:rFonts w:ascii="Consolas" w:hAnsi="Consolas"/>
      <w:sz w:val="21"/>
      <w:szCs w:val="21"/>
      <w:lang w:val="ru-RU" w:eastAsia="ar-SA"/>
    </w:rPr>
  </w:style>
  <w:style w:type="paragraph" w:styleId="afa">
    <w:name w:val="annotation subject"/>
    <w:basedOn w:val="a8"/>
    <w:next w:val="a8"/>
    <w:link w:val="afb"/>
    <w:uiPriority w:val="99"/>
    <w:semiHidden/>
    <w:rPr>
      <w:b/>
      <w:bCs/>
    </w:rPr>
  </w:style>
  <w:style w:type="character" w:customStyle="1" w:styleId="afb">
    <w:name w:val="Тема примечания Знак"/>
    <w:basedOn w:val="a9"/>
    <w:link w:val="afa"/>
    <w:rPr>
      <w:b/>
      <w:bCs/>
      <w:lang w:val="ru-RU" w:eastAsia="ar-SA"/>
    </w:rPr>
  </w:style>
  <w:style w:type="paragraph" w:styleId="afc">
    <w:name w:val="Balloon Text"/>
    <w:basedOn w:val="a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Pr>
      <w:rFonts w:ascii="Segoe UI" w:hAnsi="Segoe UI" w:cs="Segoe UI"/>
      <w:sz w:val="18"/>
      <w:szCs w:val="18"/>
      <w:lang w:val="ru-RU" w:eastAsia="ar-SA"/>
    </w:rPr>
  </w:style>
  <w:style w:type="paragraph" w:styleId="afe">
    <w:name w:val="List Paragraph"/>
    <w:basedOn w:val="a"/>
    <w:uiPriority w:val="99"/>
    <w:qFormat/>
    <w:pPr>
      <w:widowControl w:val="0"/>
      <w:ind w:left="-2160" w:hanging="360"/>
    </w:pPr>
    <w:rPr>
      <w:rFonts w:eastAsia="Arial Unicode MS"/>
      <w:lang w:val="uk-UA" w:eastAsia="en-US"/>
    </w:rPr>
  </w:style>
  <w:style w:type="paragraph" w:customStyle="1" w:styleId="aff">
    <w:name w:val="Содержимое таблицы"/>
    <w:basedOn w:val="a"/>
    <w:uiPriority w:val="99"/>
    <w:pPr>
      <w:suppressLineNumbers/>
    </w:pPr>
  </w:style>
  <w:style w:type="paragraph" w:customStyle="1" w:styleId="aff0">
    <w:name w:val="Заголовок таблицы"/>
    <w:basedOn w:val="aff"/>
    <w:uiPriority w:val="99"/>
    <w:pPr>
      <w:jc w:val="center"/>
    </w:pPr>
    <w:rPr>
      <w:b/>
      <w:bCs/>
    </w:rPr>
  </w:style>
  <w:style w:type="paragraph" w:customStyle="1" w:styleId="aff1">
    <w:name w:val="Содержимое врезки"/>
    <w:basedOn w:val="af"/>
    <w:uiPriority w:val="99"/>
  </w:style>
  <w:style w:type="paragraph" w:customStyle="1" w:styleId="aff2">
    <w:name w:val="Знак Знак Знак"/>
    <w:basedOn w:val="a"/>
    <w:uiPriority w:val="99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/>
    </w:rPr>
  </w:style>
  <w:style w:type="paragraph" w:customStyle="1" w:styleId="12">
    <w:name w:val="Абзац списка1"/>
    <w:basedOn w:val="a"/>
    <w:uiPriority w:val="99"/>
    <w:pPr>
      <w:widowControl w:val="0"/>
      <w:suppressAutoHyphens w:val="0"/>
      <w:autoSpaceDE w:val="0"/>
      <w:autoSpaceDN w:val="0"/>
      <w:spacing w:line="259" w:lineRule="auto"/>
      <w:ind w:left="720" w:firstLine="560"/>
      <w:contextualSpacing/>
    </w:pPr>
    <w:rPr>
      <w:sz w:val="18"/>
      <w:szCs w:val="18"/>
      <w:lang w:val="uk-UA" w:eastAsia="uk-UA"/>
    </w:rPr>
  </w:style>
  <w:style w:type="paragraph" w:customStyle="1" w:styleId="rvps14">
    <w:name w:val="rvps14"/>
    <w:basedOn w:val="a"/>
    <w:uiPriority w:val="99"/>
    <w:pPr>
      <w:suppressAutoHyphens w:val="0"/>
      <w:spacing w:before="100" w:beforeAutospacing="1" w:after="100" w:afterAutospacing="1"/>
    </w:pPr>
    <w:rPr>
      <w:lang w:eastAsia="en-US"/>
    </w:rPr>
  </w:style>
  <w:style w:type="paragraph" w:customStyle="1" w:styleId="rvps12">
    <w:name w:val="rvps12"/>
    <w:basedOn w:val="a"/>
    <w:uiPriority w:val="99"/>
    <w:pPr>
      <w:suppressAutoHyphens w:val="0"/>
      <w:spacing w:before="100" w:beforeAutospacing="1" w:after="100" w:afterAutospacing="1"/>
    </w:pPr>
    <w:rPr>
      <w:lang w:eastAsia="en-US"/>
    </w:rPr>
  </w:style>
  <w:style w:type="character" w:styleId="aff3">
    <w:name w:val="footnote reference"/>
    <w:basedOn w:val="a0"/>
    <w:semiHidden/>
    <w:rPr>
      <w:vertAlign w:val="superscript"/>
    </w:rPr>
  </w:style>
  <w:style w:type="character" w:styleId="aff4">
    <w:name w:val="annotation reference"/>
    <w:basedOn w:val="a0"/>
    <w:uiPriority w:val="99"/>
    <w:semiHidden/>
    <w:rPr>
      <w:sz w:val="16"/>
      <w:szCs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3">
    <w:name w:val="Основной шрифт абзаца1"/>
    <w:semiHidden/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ONR</Company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subject/>
  <dc:creator>Alla</dc:creator>
  <cp:keywords/>
  <dc:description/>
  <cp:lastModifiedBy>Privateer~</cp:lastModifiedBy>
  <cp:revision>2</cp:revision>
  <cp:lastPrinted>2019-01-31T10:46:00Z</cp:lastPrinted>
  <dcterms:created xsi:type="dcterms:W3CDTF">2021-06-15T15:21:00Z</dcterms:created>
  <dcterms:modified xsi:type="dcterms:W3CDTF">2021-06-15T15:21:00Z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