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AD063D">
      <w:pPr>
        <w:jc w:val="center"/>
        <w:rPr>
          <w:sz w:val="22"/>
          <w:szCs w:val="22"/>
          <w:lang w:val="uk-UA"/>
        </w:rPr>
      </w:pPr>
      <w:bookmarkStart w:id="0" w:name="_GoBack"/>
      <w:bookmarkEnd w:id="0"/>
      <w:r>
        <w:rPr>
          <w:sz w:val="22"/>
          <w:szCs w:val="22"/>
          <w:lang w:val="uk-UA"/>
        </w:rPr>
        <w:t>Повідомлення про проведення річних Загальних зборів</w:t>
      </w:r>
    </w:p>
    <w:p w:rsidR="00000000" w:rsidRDefault="00AD063D">
      <w:pPr>
        <w:jc w:val="center"/>
        <w:rPr>
          <w:b/>
          <w:sz w:val="22"/>
          <w:szCs w:val="22"/>
          <w:lang w:val="uk-UA"/>
        </w:rPr>
      </w:pPr>
      <w:r>
        <w:rPr>
          <w:b/>
          <w:sz w:val="22"/>
          <w:szCs w:val="22"/>
          <w:lang w:val="ru-RU"/>
        </w:rPr>
        <w:t>ПРИВАТНЕ АКЦІОНЕРНЕ ТОВАРИСТВО «КЕРАМПРОМ</w:t>
      </w:r>
      <w:r>
        <w:rPr>
          <w:b/>
          <w:sz w:val="22"/>
          <w:szCs w:val="22"/>
          <w:lang w:val="uk-UA"/>
        </w:rPr>
        <w:t>»</w:t>
      </w:r>
    </w:p>
    <w:p w:rsidR="00000000" w:rsidRDefault="00AD063D">
      <w:pPr>
        <w:jc w:val="both"/>
        <w:rPr>
          <w:sz w:val="22"/>
          <w:szCs w:val="22"/>
          <w:lang w:val="uk-UA"/>
        </w:rPr>
      </w:pPr>
      <w:r>
        <w:rPr>
          <w:sz w:val="22"/>
          <w:szCs w:val="22"/>
          <w:lang w:val="uk-UA"/>
        </w:rPr>
        <w:t xml:space="preserve">           (надалі – Товариство, к</w:t>
      </w:r>
      <w:r>
        <w:rPr>
          <w:sz w:val="22"/>
          <w:szCs w:val="22"/>
          <w:lang w:val="ru-RU"/>
        </w:rPr>
        <w:t>од ЄДРПОУ 24655289, місцезнаходження:</w:t>
      </w:r>
      <w:r>
        <w:rPr>
          <w:sz w:val="22"/>
          <w:szCs w:val="22"/>
          <w:lang w:val="uk-UA"/>
        </w:rPr>
        <w:t xml:space="preserve"> </w:t>
      </w:r>
      <w:r>
        <w:rPr>
          <w:sz w:val="22"/>
          <w:szCs w:val="22"/>
          <w:lang w:val="ru-RU"/>
        </w:rPr>
        <w:t>85171, Україна, Донецька</w:t>
      </w:r>
      <w:r>
        <w:rPr>
          <w:sz w:val="22"/>
          <w:szCs w:val="22"/>
          <w:lang w:val="uk-UA"/>
        </w:rPr>
        <w:t xml:space="preserve"> </w:t>
      </w:r>
      <w:r>
        <w:rPr>
          <w:sz w:val="22"/>
          <w:szCs w:val="22"/>
          <w:lang w:val="ru-RU"/>
        </w:rPr>
        <w:t>область, Костянтинівський район,</w:t>
      </w:r>
      <w:r>
        <w:rPr>
          <w:sz w:val="22"/>
          <w:szCs w:val="22"/>
          <w:lang w:val="uk-UA"/>
        </w:rPr>
        <w:t xml:space="preserve"> </w:t>
      </w:r>
      <w:r>
        <w:rPr>
          <w:sz w:val="22"/>
          <w:szCs w:val="22"/>
          <w:lang w:val="ru-RU"/>
        </w:rPr>
        <w:t>с. Артемівка, вул. Дружби,</w:t>
      </w:r>
      <w:r>
        <w:rPr>
          <w:sz w:val="22"/>
          <w:szCs w:val="22"/>
          <w:lang w:val="uk-UA"/>
        </w:rPr>
        <w:t xml:space="preserve"> </w:t>
      </w:r>
      <w:r>
        <w:rPr>
          <w:sz w:val="22"/>
          <w:szCs w:val="22"/>
          <w:lang w:val="uk-UA"/>
        </w:rPr>
        <w:t>буд.</w:t>
      </w:r>
      <w:r>
        <w:rPr>
          <w:sz w:val="22"/>
          <w:szCs w:val="22"/>
          <w:lang w:val="ru-RU"/>
        </w:rPr>
        <w:t>2</w:t>
      </w:r>
      <w:r>
        <w:rPr>
          <w:sz w:val="22"/>
          <w:szCs w:val="22"/>
          <w:lang w:val="uk-UA"/>
        </w:rPr>
        <w:t>)   повідомляє про проведення річних Загальних зборів Товариства</w:t>
      </w:r>
      <w:r>
        <w:rPr>
          <w:b/>
          <w:sz w:val="22"/>
          <w:szCs w:val="22"/>
          <w:lang w:val="uk-UA"/>
        </w:rPr>
        <w:t xml:space="preserve">, </w:t>
      </w:r>
      <w:r>
        <w:rPr>
          <w:sz w:val="22"/>
          <w:szCs w:val="22"/>
          <w:lang w:val="uk-UA"/>
        </w:rPr>
        <w:t xml:space="preserve">які </w:t>
      </w:r>
      <w:proofErr w:type="gramStart"/>
      <w:r>
        <w:rPr>
          <w:sz w:val="22"/>
          <w:szCs w:val="22"/>
          <w:lang w:val="uk-UA"/>
        </w:rPr>
        <w:t xml:space="preserve">відбудуться  </w:t>
      </w:r>
      <w:r>
        <w:rPr>
          <w:b/>
          <w:sz w:val="22"/>
          <w:szCs w:val="22"/>
          <w:lang w:val="uk-UA"/>
        </w:rPr>
        <w:t>29</w:t>
      </w:r>
      <w:proofErr w:type="gramEnd"/>
      <w:r>
        <w:rPr>
          <w:b/>
          <w:sz w:val="22"/>
          <w:szCs w:val="22"/>
          <w:lang w:val="uk-UA"/>
        </w:rPr>
        <w:t xml:space="preserve"> квітня 2016</w:t>
      </w:r>
      <w:r>
        <w:rPr>
          <w:b/>
          <w:sz w:val="22"/>
          <w:szCs w:val="22"/>
          <w:lang w:val="ru-RU"/>
        </w:rPr>
        <w:t> </w:t>
      </w:r>
      <w:r>
        <w:rPr>
          <w:b/>
          <w:sz w:val="22"/>
          <w:szCs w:val="22"/>
          <w:lang w:val="uk-UA"/>
        </w:rPr>
        <w:t xml:space="preserve">року о 14:00 годині </w:t>
      </w:r>
      <w:r>
        <w:rPr>
          <w:sz w:val="22"/>
          <w:szCs w:val="22"/>
          <w:lang w:val="uk-UA"/>
        </w:rPr>
        <w:t>за адресою: Україна, 85171, Донецька область, Костянтинівський район, с.</w:t>
      </w:r>
      <w:r>
        <w:rPr>
          <w:sz w:val="22"/>
          <w:szCs w:val="22"/>
          <w:lang w:val="ru-RU"/>
        </w:rPr>
        <w:t> </w:t>
      </w:r>
      <w:r>
        <w:rPr>
          <w:sz w:val="22"/>
          <w:szCs w:val="22"/>
          <w:lang w:val="uk-UA"/>
        </w:rPr>
        <w:t>Артемівка, вул.</w:t>
      </w:r>
      <w:r>
        <w:rPr>
          <w:sz w:val="22"/>
          <w:szCs w:val="22"/>
          <w:lang w:val="ru-RU"/>
        </w:rPr>
        <w:t> </w:t>
      </w:r>
      <w:r>
        <w:rPr>
          <w:sz w:val="22"/>
          <w:szCs w:val="22"/>
          <w:lang w:val="uk-UA"/>
        </w:rPr>
        <w:t>Дружби, 2, кімната №1.</w:t>
      </w:r>
    </w:p>
    <w:p w:rsidR="00000000" w:rsidRDefault="00AD063D">
      <w:pPr>
        <w:jc w:val="both"/>
        <w:rPr>
          <w:sz w:val="22"/>
          <w:szCs w:val="22"/>
          <w:lang w:val="uk-UA"/>
        </w:rPr>
      </w:pPr>
      <w:r>
        <w:rPr>
          <w:sz w:val="22"/>
          <w:szCs w:val="22"/>
          <w:lang w:val="uk-UA"/>
        </w:rPr>
        <w:t xml:space="preserve">              Реєстра</w:t>
      </w:r>
      <w:r>
        <w:rPr>
          <w:sz w:val="22"/>
          <w:szCs w:val="22"/>
          <w:lang w:val="uk-UA"/>
        </w:rPr>
        <w:t xml:space="preserve">ція акціонерів (їх представників) для участі у зборах буде проводитись 29 квітня 2016 року з 13:30 до 13:50 за місцем проведення Загальних зборів..             </w:t>
      </w:r>
    </w:p>
    <w:p w:rsidR="00000000" w:rsidRDefault="00AD063D">
      <w:pPr>
        <w:jc w:val="both"/>
        <w:rPr>
          <w:sz w:val="22"/>
          <w:szCs w:val="22"/>
          <w:lang w:val="uk-UA"/>
        </w:rPr>
      </w:pPr>
      <w:r>
        <w:rPr>
          <w:sz w:val="22"/>
          <w:szCs w:val="22"/>
          <w:lang w:val="uk-UA"/>
        </w:rPr>
        <w:t xml:space="preserve">            Для реєстрації а</w:t>
      </w:r>
      <w:r>
        <w:rPr>
          <w:sz w:val="22"/>
          <w:szCs w:val="22"/>
          <w:lang w:val="ru-RU"/>
        </w:rPr>
        <w:t>кціонер</w:t>
      </w:r>
      <w:r>
        <w:rPr>
          <w:sz w:val="22"/>
          <w:szCs w:val="22"/>
          <w:lang w:val="uk-UA"/>
        </w:rPr>
        <w:t xml:space="preserve">у </w:t>
      </w:r>
      <w:r>
        <w:rPr>
          <w:sz w:val="22"/>
          <w:szCs w:val="22"/>
          <w:lang w:val="ru-RU"/>
        </w:rPr>
        <w:t>необхідно мати</w:t>
      </w:r>
      <w:r>
        <w:rPr>
          <w:sz w:val="22"/>
          <w:szCs w:val="22"/>
          <w:lang w:val="uk-UA"/>
        </w:rPr>
        <w:t xml:space="preserve"> документ, що посвідчує особу, а п</w:t>
      </w:r>
      <w:r>
        <w:rPr>
          <w:sz w:val="22"/>
          <w:szCs w:val="22"/>
          <w:lang w:val="ru-RU"/>
        </w:rPr>
        <w:t>редставник</w:t>
      </w:r>
      <w:r>
        <w:rPr>
          <w:sz w:val="22"/>
          <w:szCs w:val="22"/>
          <w:lang w:val="uk-UA"/>
        </w:rPr>
        <w:t>у</w:t>
      </w:r>
      <w:r>
        <w:rPr>
          <w:sz w:val="22"/>
          <w:szCs w:val="22"/>
          <w:lang w:val="ru-RU"/>
        </w:rPr>
        <w:t xml:space="preserve"> акціонер</w:t>
      </w:r>
      <w:r>
        <w:rPr>
          <w:sz w:val="22"/>
          <w:szCs w:val="22"/>
          <w:lang w:val="uk-UA"/>
        </w:rPr>
        <w:t xml:space="preserve">а – також довіреність, оформлену відповідно до чинного законодавства. Представнику юридичної особи, який діє без довіреності від її імені, необхідно мати також документ, що підтверджує обрання (призначення) його на посаду, та установчий документ </w:t>
      </w:r>
      <w:r>
        <w:rPr>
          <w:sz w:val="22"/>
          <w:szCs w:val="22"/>
          <w:lang w:val="uk-UA"/>
        </w:rPr>
        <w:t xml:space="preserve">юридичної особи, що містить інформацію про посадових осіб, які мають право діяти від її імені без довіреності. </w:t>
      </w:r>
    </w:p>
    <w:p w:rsidR="00000000" w:rsidRDefault="00AD063D">
      <w:pPr>
        <w:jc w:val="both"/>
        <w:rPr>
          <w:sz w:val="22"/>
          <w:szCs w:val="22"/>
          <w:lang w:val="uk-UA"/>
        </w:rPr>
      </w:pPr>
      <w:r>
        <w:rPr>
          <w:sz w:val="22"/>
          <w:szCs w:val="22"/>
          <w:lang w:val="uk-UA"/>
        </w:rPr>
        <w:t xml:space="preserve">           Дата складання переліку акціонерів, які мають право на участь у Загальних зборах: 25 квітня 2016 року.</w:t>
      </w:r>
    </w:p>
    <w:p w:rsidR="00000000" w:rsidRDefault="00AD063D">
      <w:pPr>
        <w:jc w:val="both"/>
        <w:rPr>
          <w:b/>
          <w:sz w:val="22"/>
          <w:szCs w:val="22"/>
          <w:lang w:val="ru-RU"/>
        </w:rPr>
      </w:pPr>
      <w:r>
        <w:rPr>
          <w:b/>
          <w:sz w:val="22"/>
          <w:szCs w:val="22"/>
          <w:lang w:val="uk-UA"/>
        </w:rPr>
        <w:t xml:space="preserve">                      </w:t>
      </w:r>
      <w:proofErr w:type="gramStart"/>
      <w:r>
        <w:rPr>
          <w:b/>
          <w:sz w:val="22"/>
          <w:szCs w:val="22"/>
          <w:lang w:val="ru-RU"/>
        </w:rPr>
        <w:t xml:space="preserve">Перелік </w:t>
      </w:r>
      <w:r>
        <w:rPr>
          <w:b/>
          <w:sz w:val="22"/>
          <w:szCs w:val="22"/>
          <w:lang w:val="ru-RU"/>
        </w:rPr>
        <w:t xml:space="preserve"> питань</w:t>
      </w:r>
      <w:proofErr w:type="gramEnd"/>
      <w:r>
        <w:rPr>
          <w:b/>
          <w:sz w:val="22"/>
          <w:szCs w:val="22"/>
          <w:lang w:val="ru-RU"/>
        </w:rPr>
        <w:t>, що виносяться на голосування</w:t>
      </w:r>
      <w:r>
        <w:rPr>
          <w:b/>
          <w:sz w:val="22"/>
          <w:szCs w:val="22"/>
          <w:lang w:val="uk-UA"/>
        </w:rPr>
        <w:t xml:space="preserve"> (порядок денний)</w:t>
      </w:r>
      <w:r>
        <w:rPr>
          <w:b/>
          <w:sz w:val="22"/>
          <w:szCs w:val="22"/>
          <w:lang w:val="ru-RU"/>
        </w:rPr>
        <w:t>:</w:t>
      </w:r>
    </w:p>
    <w:p w:rsidR="00000000" w:rsidRDefault="00AD063D">
      <w:pPr>
        <w:tabs>
          <w:tab w:val="num" w:pos="426"/>
        </w:tabs>
        <w:jc w:val="both"/>
        <w:rPr>
          <w:sz w:val="22"/>
          <w:szCs w:val="22"/>
          <w:lang w:val="ru-RU"/>
        </w:rPr>
      </w:pPr>
      <w:r>
        <w:rPr>
          <w:sz w:val="22"/>
          <w:szCs w:val="22"/>
          <w:lang w:val="ru-RU"/>
        </w:rPr>
        <w:t>1.  Обрання Лічильної комісії Загальних зборів Товариства та прийняття рішення про припинення повноважень Лічильної комісії.</w:t>
      </w:r>
    </w:p>
    <w:p w:rsidR="00000000" w:rsidRDefault="00AD063D">
      <w:pPr>
        <w:tabs>
          <w:tab w:val="num" w:pos="426"/>
        </w:tabs>
        <w:jc w:val="both"/>
        <w:rPr>
          <w:sz w:val="22"/>
          <w:szCs w:val="22"/>
          <w:lang w:val="ru-RU"/>
        </w:rPr>
      </w:pPr>
      <w:r>
        <w:rPr>
          <w:sz w:val="22"/>
          <w:szCs w:val="22"/>
          <w:lang w:val="ru-RU"/>
        </w:rPr>
        <w:t>2.  Обрання Голови та Секретаря Загальних зборів Товариства.</w:t>
      </w:r>
    </w:p>
    <w:p w:rsidR="00000000" w:rsidRDefault="00AD063D">
      <w:pPr>
        <w:tabs>
          <w:tab w:val="num" w:pos="426"/>
        </w:tabs>
        <w:jc w:val="both"/>
        <w:rPr>
          <w:sz w:val="22"/>
          <w:szCs w:val="22"/>
          <w:lang w:val="ru-RU"/>
        </w:rPr>
      </w:pPr>
      <w:r>
        <w:rPr>
          <w:sz w:val="22"/>
          <w:szCs w:val="22"/>
          <w:lang w:val="ru-RU"/>
        </w:rPr>
        <w:t>3.  Затверджен</w:t>
      </w:r>
      <w:r>
        <w:rPr>
          <w:sz w:val="22"/>
          <w:szCs w:val="22"/>
          <w:lang w:val="ru-RU"/>
        </w:rPr>
        <w:t>ня порядку (</w:t>
      </w:r>
      <w:proofErr w:type="gramStart"/>
      <w:r>
        <w:rPr>
          <w:sz w:val="22"/>
          <w:szCs w:val="22"/>
          <w:lang w:val="ru-RU"/>
        </w:rPr>
        <w:t>регламенту)  проведення</w:t>
      </w:r>
      <w:proofErr w:type="gramEnd"/>
      <w:r>
        <w:rPr>
          <w:sz w:val="22"/>
          <w:szCs w:val="22"/>
          <w:lang w:val="ru-RU"/>
        </w:rPr>
        <w:t xml:space="preserve"> Загальних зборів Товариства. </w:t>
      </w:r>
    </w:p>
    <w:p w:rsidR="00000000" w:rsidRDefault="00AD063D">
      <w:pPr>
        <w:tabs>
          <w:tab w:val="num" w:pos="426"/>
        </w:tabs>
        <w:jc w:val="both"/>
        <w:rPr>
          <w:sz w:val="22"/>
          <w:szCs w:val="22"/>
          <w:lang w:val="ru-RU"/>
        </w:rPr>
      </w:pPr>
      <w:r>
        <w:rPr>
          <w:sz w:val="22"/>
          <w:szCs w:val="22"/>
          <w:lang w:val="ru-RU"/>
        </w:rPr>
        <w:t xml:space="preserve">4.  Звіт Генерального директора про результати фінансово-господарської діяльності Товариства за 2015 рік та прийняття рішення за </w:t>
      </w:r>
      <w:proofErr w:type="gramStart"/>
      <w:r>
        <w:rPr>
          <w:sz w:val="22"/>
          <w:szCs w:val="22"/>
          <w:lang w:val="ru-RU"/>
        </w:rPr>
        <w:t>наслідками  розгляду</w:t>
      </w:r>
      <w:proofErr w:type="gramEnd"/>
      <w:r>
        <w:rPr>
          <w:sz w:val="22"/>
          <w:szCs w:val="22"/>
          <w:lang w:val="ru-RU"/>
        </w:rPr>
        <w:t xml:space="preserve"> звіту Генерального директора. </w:t>
      </w:r>
    </w:p>
    <w:p w:rsidR="00000000" w:rsidRDefault="00AD063D">
      <w:pPr>
        <w:tabs>
          <w:tab w:val="num" w:pos="426"/>
        </w:tabs>
        <w:jc w:val="both"/>
        <w:rPr>
          <w:sz w:val="22"/>
          <w:szCs w:val="22"/>
          <w:lang w:val="ru-RU"/>
        </w:rPr>
      </w:pPr>
      <w:r>
        <w:rPr>
          <w:sz w:val="22"/>
          <w:szCs w:val="22"/>
          <w:lang w:val="ru-RU"/>
        </w:rPr>
        <w:t xml:space="preserve">5.  Звіт </w:t>
      </w:r>
      <w:r>
        <w:rPr>
          <w:sz w:val="22"/>
          <w:szCs w:val="22"/>
          <w:lang w:val="ru-RU"/>
        </w:rPr>
        <w:t xml:space="preserve">Наглядової ради Товариства за 2015 рік та прийняття рішення за </w:t>
      </w:r>
      <w:proofErr w:type="gramStart"/>
      <w:r>
        <w:rPr>
          <w:sz w:val="22"/>
          <w:szCs w:val="22"/>
          <w:lang w:val="ru-RU"/>
        </w:rPr>
        <w:t>наслідками  розгляду</w:t>
      </w:r>
      <w:proofErr w:type="gramEnd"/>
      <w:r>
        <w:rPr>
          <w:sz w:val="22"/>
          <w:szCs w:val="22"/>
          <w:lang w:val="ru-RU"/>
        </w:rPr>
        <w:t xml:space="preserve"> звіту Наглядової ради.</w:t>
      </w:r>
    </w:p>
    <w:p w:rsidR="00000000" w:rsidRDefault="00AD063D">
      <w:pPr>
        <w:tabs>
          <w:tab w:val="num" w:pos="426"/>
        </w:tabs>
        <w:jc w:val="both"/>
        <w:rPr>
          <w:sz w:val="22"/>
          <w:szCs w:val="22"/>
          <w:lang w:val="ru-RU"/>
        </w:rPr>
      </w:pPr>
      <w:r>
        <w:rPr>
          <w:sz w:val="22"/>
          <w:szCs w:val="22"/>
          <w:lang w:val="ru-RU"/>
        </w:rPr>
        <w:t xml:space="preserve">6.  Звіт Ревізора Товариства за 2015 рік та прийняття рішення за наслідками розгляду звіту Ревізора. Затвердження висновків Ревізора Товариства. </w:t>
      </w:r>
    </w:p>
    <w:p w:rsidR="00000000" w:rsidRDefault="00AD063D">
      <w:pPr>
        <w:tabs>
          <w:tab w:val="num" w:pos="426"/>
        </w:tabs>
        <w:jc w:val="both"/>
        <w:rPr>
          <w:sz w:val="22"/>
          <w:szCs w:val="22"/>
          <w:lang w:val="ru-RU"/>
        </w:rPr>
      </w:pPr>
      <w:r>
        <w:rPr>
          <w:sz w:val="22"/>
          <w:szCs w:val="22"/>
          <w:lang w:val="ru-RU"/>
        </w:rPr>
        <w:t>7. </w:t>
      </w:r>
      <w:r>
        <w:rPr>
          <w:sz w:val="22"/>
          <w:szCs w:val="22"/>
          <w:lang w:val="ru-RU"/>
        </w:rPr>
        <w:t xml:space="preserve"> Затвердження річного </w:t>
      </w:r>
      <w:proofErr w:type="gramStart"/>
      <w:r>
        <w:rPr>
          <w:sz w:val="22"/>
          <w:szCs w:val="22"/>
          <w:lang w:val="ru-RU"/>
        </w:rPr>
        <w:t>звіту  ПрАТ</w:t>
      </w:r>
      <w:proofErr w:type="gramEnd"/>
      <w:r>
        <w:rPr>
          <w:sz w:val="22"/>
          <w:szCs w:val="22"/>
          <w:lang w:val="ru-RU"/>
        </w:rPr>
        <w:t xml:space="preserve"> «КЕРАМПРОМ» за 2015 рік.</w:t>
      </w:r>
    </w:p>
    <w:p w:rsidR="00000000" w:rsidRDefault="00AD063D">
      <w:pPr>
        <w:jc w:val="both"/>
        <w:rPr>
          <w:sz w:val="22"/>
          <w:szCs w:val="22"/>
          <w:lang w:val="ru-RU"/>
        </w:rPr>
      </w:pPr>
      <w:r>
        <w:rPr>
          <w:sz w:val="22"/>
          <w:szCs w:val="22"/>
          <w:lang w:val="ru-RU"/>
        </w:rPr>
        <w:t>8.  Затвердження розподілу прибутку Товариства за 2015 рік.</w:t>
      </w:r>
    </w:p>
    <w:p w:rsidR="00000000" w:rsidRDefault="00AD063D">
      <w:pPr>
        <w:tabs>
          <w:tab w:val="num" w:pos="426"/>
        </w:tabs>
        <w:jc w:val="both"/>
        <w:rPr>
          <w:sz w:val="22"/>
          <w:szCs w:val="22"/>
          <w:lang w:val="ru-RU"/>
        </w:rPr>
      </w:pPr>
      <w:r>
        <w:rPr>
          <w:sz w:val="22"/>
          <w:szCs w:val="22"/>
          <w:lang w:val="ru-RU"/>
        </w:rPr>
        <w:t>9.  Про виплату дивідендів та затвердження розміру річних дивідендів Товариства.</w:t>
      </w:r>
    </w:p>
    <w:p w:rsidR="00000000" w:rsidRDefault="00AD063D">
      <w:pPr>
        <w:tabs>
          <w:tab w:val="num" w:pos="426"/>
        </w:tabs>
        <w:jc w:val="both"/>
        <w:rPr>
          <w:sz w:val="22"/>
          <w:szCs w:val="22"/>
          <w:lang w:val="ru-RU"/>
        </w:rPr>
      </w:pPr>
      <w:r>
        <w:rPr>
          <w:sz w:val="22"/>
          <w:szCs w:val="22"/>
          <w:lang w:val="ru-RU"/>
        </w:rPr>
        <w:t xml:space="preserve">10.  Дострокове припинення повноважень члена Наглядової </w:t>
      </w:r>
      <w:r>
        <w:rPr>
          <w:sz w:val="22"/>
          <w:szCs w:val="22"/>
          <w:lang w:val="ru-RU"/>
        </w:rPr>
        <w:t>ради Товариства.</w:t>
      </w:r>
    </w:p>
    <w:p w:rsidR="00000000" w:rsidRDefault="00AD063D">
      <w:pPr>
        <w:tabs>
          <w:tab w:val="num" w:pos="426"/>
        </w:tabs>
        <w:jc w:val="both"/>
        <w:rPr>
          <w:sz w:val="22"/>
          <w:szCs w:val="22"/>
          <w:lang w:val="ru-RU"/>
        </w:rPr>
      </w:pPr>
      <w:r>
        <w:rPr>
          <w:sz w:val="22"/>
          <w:szCs w:val="22"/>
          <w:lang w:val="ru-RU"/>
        </w:rPr>
        <w:t>11. Затвердження кількісного складу Наглядової ради Товариства.</w:t>
      </w:r>
    </w:p>
    <w:p w:rsidR="00000000" w:rsidRDefault="00AD063D">
      <w:pPr>
        <w:tabs>
          <w:tab w:val="num" w:pos="426"/>
        </w:tabs>
        <w:jc w:val="both"/>
        <w:rPr>
          <w:sz w:val="22"/>
          <w:szCs w:val="22"/>
          <w:lang w:val="ru-RU"/>
        </w:rPr>
      </w:pPr>
      <w:r>
        <w:rPr>
          <w:sz w:val="22"/>
          <w:szCs w:val="22"/>
          <w:lang w:val="ru-RU"/>
        </w:rPr>
        <w:t xml:space="preserve">12. Обрання членів Наглядової ради Товариства. </w:t>
      </w:r>
    </w:p>
    <w:p w:rsidR="00000000" w:rsidRDefault="00AD063D">
      <w:pPr>
        <w:tabs>
          <w:tab w:val="num" w:pos="426"/>
        </w:tabs>
        <w:jc w:val="both"/>
        <w:rPr>
          <w:sz w:val="22"/>
          <w:szCs w:val="22"/>
          <w:lang w:val="ru-RU"/>
        </w:rPr>
      </w:pPr>
      <w:r>
        <w:rPr>
          <w:sz w:val="22"/>
          <w:szCs w:val="22"/>
          <w:lang w:val="ru-RU"/>
        </w:rPr>
        <w:t>13. Затвердження кошторису витрат на утримання Наглядової ради Товариства, у т.ч. розміру винагороди членів Наглядової ради Тов</w:t>
      </w:r>
      <w:r>
        <w:rPr>
          <w:sz w:val="22"/>
          <w:szCs w:val="22"/>
          <w:lang w:val="ru-RU"/>
        </w:rPr>
        <w:t xml:space="preserve">ариства. </w:t>
      </w:r>
    </w:p>
    <w:p w:rsidR="00000000" w:rsidRDefault="00AD063D">
      <w:pPr>
        <w:tabs>
          <w:tab w:val="num" w:pos="426"/>
        </w:tabs>
        <w:jc w:val="both"/>
        <w:rPr>
          <w:sz w:val="22"/>
          <w:szCs w:val="22"/>
          <w:lang w:val="ru-RU"/>
        </w:rPr>
      </w:pPr>
      <w:r>
        <w:rPr>
          <w:sz w:val="22"/>
          <w:szCs w:val="22"/>
          <w:lang w:val="ru-RU"/>
        </w:rPr>
        <w:t>14. Уповноваження Генерального директора Товариства на встановлення трудових відносин з членами Наглядової ради Товариства.</w:t>
      </w:r>
    </w:p>
    <w:p w:rsidR="00000000" w:rsidRDefault="00AD063D">
      <w:pPr>
        <w:tabs>
          <w:tab w:val="num" w:pos="426"/>
        </w:tabs>
        <w:jc w:val="both"/>
        <w:rPr>
          <w:sz w:val="22"/>
          <w:szCs w:val="22"/>
          <w:lang w:val="ru-RU"/>
        </w:rPr>
      </w:pPr>
      <w:r>
        <w:rPr>
          <w:sz w:val="22"/>
          <w:szCs w:val="22"/>
          <w:lang w:val="ru-RU"/>
        </w:rPr>
        <w:t>15. Припинення повноважень Ревізора Товариства.</w:t>
      </w:r>
    </w:p>
    <w:p w:rsidR="00000000" w:rsidRDefault="00AD063D">
      <w:pPr>
        <w:tabs>
          <w:tab w:val="num" w:pos="426"/>
        </w:tabs>
        <w:jc w:val="both"/>
        <w:rPr>
          <w:sz w:val="22"/>
          <w:szCs w:val="22"/>
          <w:lang w:val="ru-RU"/>
        </w:rPr>
      </w:pPr>
      <w:r>
        <w:rPr>
          <w:sz w:val="22"/>
          <w:szCs w:val="22"/>
          <w:lang w:val="ru-RU"/>
        </w:rPr>
        <w:t>16. Обрання Ревізора Товариства.</w:t>
      </w:r>
    </w:p>
    <w:p w:rsidR="00000000" w:rsidRDefault="00AD063D">
      <w:pPr>
        <w:tabs>
          <w:tab w:val="num" w:pos="426"/>
        </w:tabs>
        <w:jc w:val="both"/>
        <w:rPr>
          <w:sz w:val="22"/>
          <w:szCs w:val="22"/>
          <w:lang w:val="ru-RU"/>
        </w:rPr>
      </w:pPr>
      <w:r>
        <w:rPr>
          <w:sz w:val="22"/>
          <w:szCs w:val="22"/>
          <w:lang w:val="ru-RU"/>
        </w:rPr>
        <w:t>17. Затвердження кошторису витрат Ревізор</w:t>
      </w:r>
      <w:r>
        <w:rPr>
          <w:sz w:val="22"/>
          <w:szCs w:val="22"/>
          <w:lang w:val="ru-RU"/>
        </w:rPr>
        <w:t xml:space="preserve">а Товариства, у т.ч. розміру винагороди Ревізора Товариства та уповноваження Генерального директора Товариства на встановлення трудових відносин з Ревізором Товариства. </w:t>
      </w:r>
    </w:p>
    <w:p w:rsidR="00000000" w:rsidRDefault="00AD063D">
      <w:pPr>
        <w:tabs>
          <w:tab w:val="num" w:pos="426"/>
        </w:tabs>
        <w:jc w:val="both"/>
        <w:rPr>
          <w:sz w:val="22"/>
          <w:szCs w:val="22"/>
          <w:lang w:val="ru-RU"/>
        </w:rPr>
      </w:pPr>
      <w:r>
        <w:rPr>
          <w:sz w:val="22"/>
          <w:szCs w:val="22"/>
          <w:lang w:val="ru-RU"/>
        </w:rPr>
        <w:t xml:space="preserve">18. Затвердження Статуту Товариства в новій </w:t>
      </w:r>
      <w:proofErr w:type="gramStart"/>
      <w:r>
        <w:rPr>
          <w:sz w:val="22"/>
          <w:szCs w:val="22"/>
          <w:lang w:val="ru-RU"/>
        </w:rPr>
        <w:t>редакції  у</w:t>
      </w:r>
      <w:proofErr w:type="gramEnd"/>
      <w:r>
        <w:rPr>
          <w:sz w:val="22"/>
          <w:szCs w:val="22"/>
          <w:lang w:val="ru-RU"/>
        </w:rPr>
        <w:t xml:space="preserve"> зв’язку із приведенням Статуту</w:t>
      </w:r>
      <w:r>
        <w:rPr>
          <w:sz w:val="22"/>
          <w:szCs w:val="22"/>
          <w:lang w:val="ru-RU"/>
        </w:rPr>
        <w:t xml:space="preserve"> у відповідність до вимог чинного законодавства України. Визначення уповноваженої особи на підписання нової редакції Статуту та проведення її державної реєстрації.</w:t>
      </w:r>
    </w:p>
    <w:p w:rsidR="00000000" w:rsidRDefault="00AD063D">
      <w:pPr>
        <w:tabs>
          <w:tab w:val="num" w:pos="426"/>
        </w:tabs>
        <w:jc w:val="both"/>
        <w:rPr>
          <w:sz w:val="22"/>
          <w:szCs w:val="22"/>
          <w:lang w:val="ru-RU"/>
        </w:rPr>
      </w:pPr>
      <w:r>
        <w:rPr>
          <w:sz w:val="22"/>
          <w:szCs w:val="22"/>
          <w:lang w:val="ru-RU"/>
        </w:rPr>
        <w:t>19. Затвердження положень про Наглядову раду Товариства та Ревізора Товариства.</w:t>
      </w:r>
    </w:p>
    <w:p w:rsidR="00000000" w:rsidRDefault="00AD063D">
      <w:pPr>
        <w:tabs>
          <w:tab w:val="num" w:pos="426"/>
        </w:tabs>
        <w:jc w:val="both"/>
        <w:rPr>
          <w:sz w:val="22"/>
          <w:szCs w:val="22"/>
          <w:lang w:val="ru-RU"/>
        </w:rPr>
      </w:pPr>
      <w:r>
        <w:rPr>
          <w:sz w:val="22"/>
          <w:szCs w:val="22"/>
          <w:lang w:val="ru-RU"/>
        </w:rPr>
        <w:t>20. Про затв</w:t>
      </w:r>
      <w:r>
        <w:rPr>
          <w:sz w:val="22"/>
          <w:szCs w:val="22"/>
          <w:lang w:val="ru-RU"/>
        </w:rPr>
        <w:t xml:space="preserve">ердження значних правочинів, укладених Товариством. </w:t>
      </w:r>
    </w:p>
    <w:p w:rsidR="00000000" w:rsidRDefault="00AD063D">
      <w:pPr>
        <w:tabs>
          <w:tab w:val="num" w:pos="426"/>
        </w:tabs>
        <w:jc w:val="both"/>
        <w:rPr>
          <w:sz w:val="22"/>
          <w:szCs w:val="22"/>
          <w:lang w:val="uk-UA"/>
        </w:rPr>
      </w:pPr>
      <w:r>
        <w:rPr>
          <w:sz w:val="22"/>
          <w:szCs w:val="22"/>
          <w:lang w:val="ru-RU"/>
        </w:rPr>
        <w:t>21. Про надання згоди на вчинення значних правочинів, які можуть вчинятися Товариством протягом одного року з дня проведення Загальних зборів, надання повноважень на вчинення значних правочинів.</w:t>
      </w:r>
    </w:p>
    <w:p w:rsidR="00000000" w:rsidRDefault="00AD063D">
      <w:pPr>
        <w:jc w:val="both"/>
        <w:rPr>
          <w:sz w:val="22"/>
          <w:szCs w:val="22"/>
          <w:lang w:val="uk-UA"/>
        </w:rPr>
      </w:pPr>
      <w:r>
        <w:rPr>
          <w:sz w:val="22"/>
          <w:szCs w:val="22"/>
          <w:lang w:val="uk-UA"/>
        </w:rPr>
        <w:t xml:space="preserve">        </w:t>
      </w:r>
      <w:r>
        <w:rPr>
          <w:sz w:val="22"/>
          <w:szCs w:val="22"/>
          <w:lang w:val="uk-UA"/>
        </w:rPr>
        <w:t xml:space="preserve">    Пропозиції щодо порядку денного Загальних зборів подаються у письмовій формі відповідно до вимог чинного законодавства України, за адресою для листування: Україна,  </w:t>
      </w:r>
      <w:r>
        <w:rPr>
          <w:sz w:val="22"/>
          <w:szCs w:val="22"/>
          <w:lang w:val="ru-RU"/>
        </w:rPr>
        <w:t>Донецька область, 85103, м.</w:t>
      </w:r>
      <w:r>
        <w:rPr>
          <w:sz w:val="22"/>
          <w:szCs w:val="22"/>
          <w:lang w:val="uk-UA"/>
        </w:rPr>
        <w:t> </w:t>
      </w:r>
      <w:r>
        <w:rPr>
          <w:sz w:val="22"/>
          <w:szCs w:val="22"/>
          <w:lang w:val="ru-RU"/>
        </w:rPr>
        <w:t>Костянтинівка, а/с 373</w:t>
      </w:r>
      <w:r>
        <w:rPr>
          <w:sz w:val="22"/>
          <w:szCs w:val="22"/>
          <w:lang w:val="uk-UA"/>
        </w:rPr>
        <w:t>.</w:t>
      </w:r>
    </w:p>
    <w:p w:rsidR="00000000" w:rsidRDefault="00AD063D">
      <w:pPr>
        <w:jc w:val="both"/>
        <w:rPr>
          <w:color w:val="757575"/>
          <w:sz w:val="22"/>
          <w:szCs w:val="22"/>
          <w:lang w:val="uk-UA"/>
        </w:rPr>
      </w:pPr>
      <w:r>
        <w:rPr>
          <w:sz w:val="22"/>
          <w:szCs w:val="22"/>
          <w:lang w:val="uk-UA"/>
        </w:rPr>
        <w:t xml:space="preserve">            Під час підготовки до З</w:t>
      </w:r>
      <w:r>
        <w:rPr>
          <w:sz w:val="22"/>
          <w:szCs w:val="22"/>
          <w:lang w:val="uk-UA"/>
        </w:rPr>
        <w:t>агальних зборів акціонери та їх представники можуть ознайомитися з матеріалами (документами), необхідними для прийняття рішень з питань порядку денного, за адресою: Україна, 85160, Донецька область, Костянтинівський район, с. Іванопілля,  вул. Дзержинськог</w:t>
      </w:r>
      <w:r>
        <w:rPr>
          <w:sz w:val="22"/>
          <w:szCs w:val="22"/>
          <w:lang w:val="uk-UA"/>
        </w:rPr>
        <w:t>о, 34, 2-й поверх, кабінет бухгалтерії Товариства щоденно у робочі дні з 10:00 до 15:00, а в день проведення Загальних зборів -  також у місці їх проведення. Посадова особа, відповідальна за порядок ознайомлення акціонерів з документами – головний  бухгалт</w:t>
      </w:r>
      <w:r>
        <w:rPr>
          <w:sz w:val="22"/>
          <w:szCs w:val="22"/>
          <w:lang w:val="uk-UA"/>
        </w:rPr>
        <w:t>ер ПрАТ «КЕРАМПРОМ» Рітсо Олена Анатоліівна. Телефон для довідок:  (050) 423-39-61.</w:t>
      </w:r>
      <w:r>
        <w:rPr>
          <w:color w:val="757575"/>
          <w:sz w:val="22"/>
          <w:szCs w:val="22"/>
          <w:lang w:val="uk-UA"/>
        </w:rPr>
        <w:t xml:space="preserve"> </w:t>
      </w:r>
    </w:p>
    <w:p w:rsidR="00000000" w:rsidRDefault="00AD063D">
      <w:pPr>
        <w:shd w:val="clear" w:color="auto" w:fill="FFFFFF"/>
        <w:jc w:val="center"/>
        <w:textAlignment w:val="baseline"/>
        <w:rPr>
          <w:b/>
          <w:color w:val="000000"/>
          <w:sz w:val="22"/>
          <w:szCs w:val="22"/>
          <w:lang w:val="uk-UA"/>
        </w:rPr>
      </w:pPr>
      <w:r>
        <w:rPr>
          <w:b/>
          <w:color w:val="000000"/>
          <w:sz w:val="22"/>
          <w:szCs w:val="22"/>
          <w:lang w:val="ru-RU"/>
        </w:rPr>
        <w:t>Основні показники фінансово-господарської діяльності</w:t>
      </w:r>
    </w:p>
    <w:p w:rsidR="00000000" w:rsidRDefault="00AD063D">
      <w:pPr>
        <w:shd w:val="clear" w:color="auto" w:fill="FFFFFF"/>
        <w:jc w:val="center"/>
        <w:textAlignment w:val="baseline"/>
        <w:rPr>
          <w:b/>
          <w:color w:val="000000"/>
          <w:sz w:val="22"/>
          <w:szCs w:val="22"/>
          <w:lang w:val="ru-RU"/>
        </w:rPr>
      </w:pPr>
      <w:r>
        <w:rPr>
          <w:b/>
          <w:color w:val="000000"/>
          <w:sz w:val="22"/>
          <w:szCs w:val="22"/>
          <w:lang w:val="uk-UA"/>
        </w:rPr>
        <w:t>ПрАТ «КЕРАМПРОМ»</w:t>
      </w:r>
      <w:r>
        <w:rPr>
          <w:b/>
          <w:color w:val="000000"/>
          <w:sz w:val="22"/>
          <w:szCs w:val="22"/>
          <w:lang w:val="ru-RU"/>
        </w:rPr>
        <w:t xml:space="preserve"> за 201</w:t>
      </w:r>
      <w:r>
        <w:rPr>
          <w:b/>
          <w:color w:val="000000"/>
          <w:sz w:val="22"/>
          <w:szCs w:val="22"/>
          <w:lang w:val="uk-UA"/>
        </w:rPr>
        <w:t>5</w:t>
      </w:r>
      <w:r>
        <w:rPr>
          <w:b/>
          <w:color w:val="000000"/>
          <w:sz w:val="22"/>
          <w:szCs w:val="22"/>
          <w:lang w:val="ru-RU"/>
        </w:rPr>
        <w:t xml:space="preserve"> рік (тис. грн)</w:t>
      </w:r>
    </w:p>
    <w:p w:rsidR="00000000" w:rsidRDefault="00AD063D">
      <w:pPr>
        <w:shd w:val="clear" w:color="auto" w:fill="FFFFFF"/>
        <w:textAlignment w:val="baseline"/>
        <w:rPr>
          <w:b/>
          <w:color w:val="000000"/>
          <w:sz w:val="22"/>
          <w:szCs w:val="22"/>
          <w:lang w:val="ru-RU"/>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6692"/>
        <w:gridCol w:w="1565"/>
        <w:gridCol w:w="1658"/>
      </w:tblGrid>
      <w:tr w:rsidR="00000000">
        <w:tc>
          <w:tcPr>
            <w:tcW w:w="6318" w:type="dxa"/>
            <w:vMerge w:val="restart"/>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bookmarkStart w:id="1" w:name="n899"/>
            <w:bookmarkEnd w:id="1"/>
            <w:r>
              <w:rPr>
                <w:sz w:val="22"/>
                <w:szCs w:val="22"/>
              </w:rPr>
              <w:t>Найменування показника</w:t>
            </w:r>
          </w:p>
        </w:tc>
        <w:tc>
          <w:tcPr>
            <w:tcW w:w="3043" w:type="dxa"/>
            <w:gridSpan w:val="2"/>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Період</w:t>
            </w:r>
          </w:p>
        </w:tc>
      </w:tr>
      <w:tr w:rsidR="00000000">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000000" w:rsidRDefault="00AD063D">
            <w:pPr>
              <w:rPr>
                <w:sz w:val="22"/>
                <w:szCs w:val="22"/>
              </w:rPr>
            </w:pPr>
          </w:p>
        </w:tc>
        <w:tc>
          <w:tcPr>
            <w:tcW w:w="1478" w:type="dxa"/>
            <w:tcBorders>
              <w:top w:val="single" w:sz="2" w:space="0" w:color="000000"/>
              <w:left w:val="single" w:sz="2" w:space="0" w:color="000000"/>
              <w:bottom w:val="single" w:sz="2" w:space="0" w:color="000000"/>
              <w:right w:val="single" w:sz="2" w:space="0" w:color="000000"/>
            </w:tcBorders>
            <w:hideMark/>
          </w:tcPr>
          <w:p w:rsidR="00000000" w:rsidRDefault="00AD063D">
            <w:pPr>
              <w:textAlignment w:val="baseline"/>
              <w:rPr>
                <w:sz w:val="22"/>
                <w:szCs w:val="22"/>
                <w:lang w:val="uk-UA"/>
              </w:rPr>
            </w:pPr>
            <w:r>
              <w:rPr>
                <w:sz w:val="22"/>
                <w:szCs w:val="22"/>
                <w:lang w:val="uk-UA"/>
              </w:rPr>
              <w:t xml:space="preserve">       2015 р.</w:t>
            </w:r>
          </w:p>
        </w:tc>
        <w:tc>
          <w:tcPr>
            <w:tcW w:w="1565"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lang w:val="uk-UA"/>
              </w:rPr>
            </w:pPr>
            <w:r>
              <w:rPr>
                <w:sz w:val="22"/>
                <w:szCs w:val="22"/>
                <w:lang w:val="uk-UA"/>
              </w:rPr>
              <w:t>2014 р.</w:t>
            </w:r>
          </w:p>
        </w:tc>
      </w:tr>
      <w:tr w:rsidR="00000000">
        <w:tc>
          <w:tcPr>
            <w:tcW w:w="6318" w:type="dxa"/>
            <w:tcBorders>
              <w:top w:val="single" w:sz="2" w:space="0" w:color="000000"/>
              <w:left w:val="single" w:sz="2" w:space="0" w:color="000000"/>
              <w:bottom w:val="single" w:sz="2" w:space="0" w:color="000000"/>
              <w:right w:val="single" w:sz="2" w:space="0" w:color="000000"/>
            </w:tcBorders>
            <w:hideMark/>
          </w:tcPr>
          <w:p w:rsidR="00000000" w:rsidRDefault="00AD063D">
            <w:pPr>
              <w:textAlignment w:val="baseline"/>
              <w:rPr>
                <w:sz w:val="22"/>
                <w:szCs w:val="22"/>
              </w:rPr>
            </w:pPr>
            <w:r>
              <w:rPr>
                <w:sz w:val="22"/>
                <w:szCs w:val="22"/>
              </w:rPr>
              <w:t>Усього активів</w:t>
            </w:r>
          </w:p>
        </w:tc>
        <w:tc>
          <w:tcPr>
            <w:tcW w:w="1478"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lang w:val="uk-UA"/>
              </w:rPr>
            </w:pPr>
            <w:r>
              <w:rPr>
                <w:sz w:val="22"/>
                <w:szCs w:val="22"/>
                <w:lang w:val="uk-UA"/>
              </w:rPr>
              <w:t>82205,1</w:t>
            </w:r>
          </w:p>
        </w:tc>
        <w:tc>
          <w:tcPr>
            <w:tcW w:w="1565"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lang w:val="uk-UA"/>
              </w:rPr>
            </w:pPr>
            <w:r>
              <w:rPr>
                <w:sz w:val="22"/>
                <w:szCs w:val="22"/>
                <w:lang w:val="uk-UA"/>
              </w:rPr>
              <w:t>32992,7</w:t>
            </w:r>
          </w:p>
        </w:tc>
      </w:tr>
      <w:tr w:rsidR="00000000">
        <w:tc>
          <w:tcPr>
            <w:tcW w:w="6318" w:type="dxa"/>
            <w:tcBorders>
              <w:top w:val="single" w:sz="2" w:space="0" w:color="000000"/>
              <w:left w:val="single" w:sz="2" w:space="0" w:color="000000"/>
              <w:bottom w:val="single" w:sz="2" w:space="0" w:color="000000"/>
              <w:right w:val="single" w:sz="2" w:space="0" w:color="000000"/>
            </w:tcBorders>
            <w:hideMark/>
          </w:tcPr>
          <w:p w:rsidR="00000000" w:rsidRDefault="00AD063D">
            <w:pPr>
              <w:textAlignment w:val="baseline"/>
              <w:rPr>
                <w:sz w:val="22"/>
                <w:szCs w:val="22"/>
              </w:rPr>
            </w:pPr>
            <w:r>
              <w:rPr>
                <w:sz w:val="22"/>
                <w:szCs w:val="22"/>
              </w:rPr>
              <w:t>Основні засоби</w:t>
            </w:r>
          </w:p>
        </w:tc>
        <w:tc>
          <w:tcPr>
            <w:tcW w:w="1478"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lang w:val="uk-UA"/>
              </w:rPr>
            </w:pPr>
            <w:r>
              <w:rPr>
                <w:sz w:val="22"/>
                <w:szCs w:val="22"/>
                <w:lang w:val="uk-UA"/>
              </w:rPr>
              <w:t>8162</w:t>
            </w:r>
            <w:r>
              <w:rPr>
                <w:sz w:val="22"/>
                <w:szCs w:val="22"/>
              </w:rPr>
              <w:t>,</w:t>
            </w:r>
            <w:r>
              <w:rPr>
                <w:sz w:val="22"/>
                <w:szCs w:val="22"/>
                <w:lang w:val="uk-UA"/>
              </w:rPr>
              <w:t>4</w:t>
            </w:r>
          </w:p>
        </w:tc>
        <w:tc>
          <w:tcPr>
            <w:tcW w:w="1565"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lang w:val="uk-UA"/>
              </w:rPr>
            </w:pPr>
            <w:r>
              <w:rPr>
                <w:sz w:val="22"/>
                <w:szCs w:val="22"/>
                <w:lang w:val="uk-UA"/>
              </w:rPr>
              <w:t>8673,2</w:t>
            </w:r>
          </w:p>
        </w:tc>
      </w:tr>
      <w:tr w:rsidR="00000000">
        <w:tc>
          <w:tcPr>
            <w:tcW w:w="6318" w:type="dxa"/>
            <w:tcBorders>
              <w:top w:val="single" w:sz="2" w:space="0" w:color="000000"/>
              <w:left w:val="single" w:sz="2" w:space="0" w:color="000000"/>
              <w:bottom w:val="single" w:sz="2" w:space="0" w:color="000000"/>
              <w:right w:val="single" w:sz="2" w:space="0" w:color="000000"/>
            </w:tcBorders>
            <w:hideMark/>
          </w:tcPr>
          <w:p w:rsidR="00000000" w:rsidRDefault="00AD063D">
            <w:pPr>
              <w:textAlignment w:val="baseline"/>
              <w:rPr>
                <w:sz w:val="22"/>
                <w:szCs w:val="22"/>
              </w:rPr>
            </w:pPr>
            <w:r>
              <w:rPr>
                <w:sz w:val="22"/>
                <w:szCs w:val="22"/>
              </w:rPr>
              <w:t>Довгострокові фінансові інвестиції</w:t>
            </w:r>
          </w:p>
        </w:tc>
        <w:tc>
          <w:tcPr>
            <w:tcW w:w="1478"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w:t>
            </w:r>
          </w:p>
        </w:tc>
        <w:tc>
          <w:tcPr>
            <w:tcW w:w="1565"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w:t>
            </w:r>
          </w:p>
        </w:tc>
      </w:tr>
      <w:tr w:rsidR="00000000">
        <w:tc>
          <w:tcPr>
            <w:tcW w:w="6318" w:type="dxa"/>
            <w:tcBorders>
              <w:top w:val="single" w:sz="2" w:space="0" w:color="000000"/>
              <w:left w:val="single" w:sz="2" w:space="0" w:color="000000"/>
              <w:bottom w:val="single" w:sz="2" w:space="0" w:color="000000"/>
              <w:right w:val="single" w:sz="2" w:space="0" w:color="000000"/>
            </w:tcBorders>
            <w:hideMark/>
          </w:tcPr>
          <w:p w:rsidR="00000000" w:rsidRDefault="00AD063D">
            <w:pPr>
              <w:textAlignment w:val="baseline"/>
              <w:rPr>
                <w:sz w:val="22"/>
                <w:szCs w:val="22"/>
              </w:rPr>
            </w:pPr>
            <w:r>
              <w:rPr>
                <w:sz w:val="22"/>
                <w:szCs w:val="22"/>
              </w:rPr>
              <w:t>Запаси</w:t>
            </w:r>
          </w:p>
        </w:tc>
        <w:tc>
          <w:tcPr>
            <w:tcW w:w="1478"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14052,6</w:t>
            </w:r>
          </w:p>
        </w:tc>
        <w:tc>
          <w:tcPr>
            <w:tcW w:w="1565"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9225,5</w:t>
            </w:r>
          </w:p>
        </w:tc>
      </w:tr>
      <w:tr w:rsidR="00000000">
        <w:tc>
          <w:tcPr>
            <w:tcW w:w="6318" w:type="dxa"/>
            <w:tcBorders>
              <w:top w:val="single" w:sz="2" w:space="0" w:color="000000"/>
              <w:left w:val="single" w:sz="2" w:space="0" w:color="000000"/>
              <w:bottom w:val="single" w:sz="2" w:space="0" w:color="000000"/>
              <w:right w:val="single" w:sz="2" w:space="0" w:color="000000"/>
            </w:tcBorders>
            <w:hideMark/>
          </w:tcPr>
          <w:p w:rsidR="00000000" w:rsidRDefault="00AD063D">
            <w:pPr>
              <w:textAlignment w:val="baseline"/>
              <w:rPr>
                <w:sz w:val="22"/>
                <w:szCs w:val="22"/>
              </w:rPr>
            </w:pPr>
            <w:r>
              <w:rPr>
                <w:sz w:val="22"/>
                <w:szCs w:val="22"/>
              </w:rPr>
              <w:t>Сумарна дебіторська заборгованість</w:t>
            </w:r>
          </w:p>
        </w:tc>
        <w:tc>
          <w:tcPr>
            <w:tcW w:w="1478"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52919,8</w:t>
            </w:r>
          </w:p>
        </w:tc>
        <w:tc>
          <w:tcPr>
            <w:tcW w:w="1565"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12173,6</w:t>
            </w:r>
          </w:p>
        </w:tc>
      </w:tr>
      <w:tr w:rsidR="00000000">
        <w:tc>
          <w:tcPr>
            <w:tcW w:w="6318" w:type="dxa"/>
            <w:tcBorders>
              <w:top w:val="single" w:sz="2" w:space="0" w:color="000000"/>
              <w:left w:val="single" w:sz="2" w:space="0" w:color="000000"/>
              <w:bottom w:val="single" w:sz="2" w:space="0" w:color="000000"/>
              <w:right w:val="single" w:sz="2" w:space="0" w:color="000000"/>
            </w:tcBorders>
            <w:hideMark/>
          </w:tcPr>
          <w:p w:rsidR="00000000" w:rsidRDefault="00AD063D">
            <w:pPr>
              <w:textAlignment w:val="baseline"/>
              <w:rPr>
                <w:sz w:val="22"/>
                <w:szCs w:val="22"/>
                <w:highlight w:val="yellow"/>
              </w:rPr>
            </w:pPr>
            <w:r>
              <w:rPr>
                <w:sz w:val="22"/>
                <w:szCs w:val="22"/>
              </w:rPr>
              <w:t>Грошові кошти та їх еквіваленти</w:t>
            </w:r>
          </w:p>
        </w:tc>
        <w:tc>
          <w:tcPr>
            <w:tcW w:w="1478"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4872,9</w:t>
            </w:r>
          </w:p>
        </w:tc>
        <w:tc>
          <w:tcPr>
            <w:tcW w:w="1565"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1946,7</w:t>
            </w:r>
          </w:p>
        </w:tc>
      </w:tr>
      <w:tr w:rsidR="00000000">
        <w:tc>
          <w:tcPr>
            <w:tcW w:w="6318" w:type="dxa"/>
            <w:tcBorders>
              <w:top w:val="single" w:sz="2" w:space="0" w:color="000000"/>
              <w:left w:val="single" w:sz="2" w:space="0" w:color="000000"/>
              <w:bottom w:val="single" w:sz="2" w:space="0" w:color="000000"/>
              <w:right w:val="single" w:sz="2" w:space="0" w:color="000000"/>
            </w:tcBorders>
            <w:hideMark/>
          </w:tcPr>
          <w:p w:rsidR="00000000" w:rsidRDefault="00AD063D">
            <w:pPr>
              <w:textAlignment w:val="baseline"/>
              <w:rPr>
                <w:sz w:val="22"/>
                <w:szCs w:val="22"/>
              </w:rPr>
            </w:pPr>
            <w:r>
              <w:rPr>
                <w:sz w:val="22"/>
                <w:szCs w:val="22"/>
              </w:rPr>
              <w:t>Нерозподілений прибуток</w:t>
            </w:r>
          </w:p>
        </w:tc>
        <w:tc>
          <w:tcPr>
            <w:tcW w:w="1478"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46304,6</w:t>
            </w:r>
          </w:p>
        </w:tc>
        <w:tc>
          <w:tcPr>
            <w:tcW w:w="1565"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3550,1</w:t>
            </w:r>
          </w:p>
        </w:tc>
      </w:tr>
      <w:tr w:rsidR="00000000">
        <w:tc>
          <w:tcPr>
            <w:tcW w:w="6318" w:type="dxa"/>
            <w:tcBorders>
              <w:top w:val="single" w:sz="2" w:space="0" w:color="000000"/>
              <w:left w:val="single" w:sz="2" w:space="0" w:color="000000"/>
              <w:bottom w:val="single" w:sz="2" w:space="0" w:color="000000"/>
              <w:right w:val="single" w:sz="2" w:space="0" w:color="000000"/>
            </w:tcBorders>
            <w:hideMark/>
          </w:tcPr>
          <w:p w:rsidR="00000000" w:rsidRDefault="00AD063D">
            <w:pPr>
              <w:textAlignment w:val="baseline"/>
              <w:rPr>
                <w:sz w:val="22"/>
                <w:szCs w:val="22"/>
              </w:rPr>
            </w:pPr>
            <w:r>
              <w:rPr>
                <w:sz w:val="22"/>
                <w:szCs w:val="22"/>
              </w:rPr>
              <w:t>Власний капітал</w:t>
            </w:r>
          </w:p>
        </w:tc>
        <w:tc>
          <w:tcPr>
            <w:tcW w:w="1478"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72516,8</w:t>
            </w:r>
          </w:p>
        </w:tc>
        <w:tc>
          <w:tcPr>
            <w:tcW w:w="1565"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29762,3</w:t>
            </w:r>
          </w:p>
        </w:tc>
      </w:tr>
      <w:tr w:rsidR="00000000">
        <w:tc>
          <w:tcPr>
            <w:tcW w:w="6318" w:type="dxa"/>
            <w:tcBorders>
              <w:top w:val="single" w:sz="2" w:space="0" w:color="000000"/>
              <w:left w:val="single" w:sz="2" w:space="0" w:color="000000"/>
              <w:bottom w:val="single" w:sz="2" w:space="0" w:color="000000"/>
              <w:right w:val="single" w:sz="2" w:space="0" w:color="000000"/>
            </w:tcBorders>
            <w:hideMark/>
          </w:tcPr>
          <w:p w:rsidR="00000000" w:rsidRDefault="00AD063D">
            <w:pPr>
              <w:textAlignment w:val="baseline"/>
              <w:rPr>
                <w:sz w:val="22"/>
                <w:szCs w:val="22"/>
              </w:rPr>
            </w:pPr>
            <w:r>
              <w:rPr>
                <w:sz w:val="22"/>
                <w:szCs w:val="22"/>
              </w:rPr>
              <w:t>Статутний капітал</w:t>
            </w:r>
          </w:p>
        </w:tc>
        <w:tc>
          <w:tcPr>
            <w:tcW w:w="1478"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lang w:val="uk-UA"/>
              </w:rPr>
            </w:pPr>
            <w:r>
              <w:rPr>
                <w:sz w:val="22"/>
                <w:szCs w:val="22"/>
                <w:lang w:val="uk-UA"/>
              </w:rPr>
              <w:t>25750,2</w:t>
            </w:r>
          </w:p>
        </w:tc>
        <w:tc>
          <w:tcPr>
            <w:tcW w:w="1565"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lang w:val="uk-UA"/>
              </w:rPr>
            </w:pPr>
            <w:r>
              <w:rPr>
                <w:sz w:val="22"/>
                <w:szCs w:val="22"/>
                <w:lang w:val="uk-UA"/>
              </w:rPr>
              <w:t>25750,2</w:t>
            </w:r>
          </w:p>
        </w:tc>
      </w:tr>
      <w:tr w:rsidR="00000000">
        <w:tc>
          <w:tcPr>
            <w:tcW w:w="6318" w:type="dxa"/>
            <w:tcBorders>
              <w:top w:val="single" w:sz="2" w:space="0" w:color="000000"/>
              <w:left w:val="single" w:sz="2" w:space="0" w:color="000000"/>
              <w:bottom w:val="single" w:sz="2" w:space="0" w:color="000000"/>
              <w:right w:val="single" w:sz="2" w:space="0" w:color="000000"/>
            </w:tcBorders>
            <w:hideMark/>
          </w:tcPr>
          <w:p w:rsidR="00000000" w:rsidRDefault="00AD063D">
            <w:pPr>
              <w:textAlignment w:val="baseline"/>
              <w:rPr>
                <w:sz w:val="22"/>
                <w:szCs w:val="22"/>
              </w:rPr>
            </w:pPr>
            <w:r>
              <w:rPr>
                <w:sz w:val="22"/>
                <w:szCs w:val="22"/>
              </w:rPr>
              <w:t>Довгострокові зобов'язання</w:t>
            </w:r>
          </w:p>
        </w:tc>
        <w:tc>
          <w:tcPr>
            <w:tcW w:w="1478"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645,2</w:t>
            </w:r>
          </w:p>
        </w:tc>
        <w:tc>
          <w:tcPr>
            <w:tcW w:w="1565"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710,9</w:t>
            </w:r>
          </w:p>
        </w:tc>
      </w:tr>
      <w:tr w:rsidR="00000000">
        <w:tc>
          <w:tcPr>
            <w:tcW w:w="6318" w:type="dxa"/>
            <w:tcBorders>
              <w:top w:val="single" w:sz="2" w:space="0" w:color="000000"/>
              <w:left w:val="single" w:sz="2" w:space="0" w:color="000000"/>
              <w:bottom w:val="single" w:sz="2" w:space="0" w:color="000000"/>
              <w:right w:val="single" w:sz="2" w:space="0" w:color="000000"/>
            </w:tcBorders>
            <w:hideMark/>
          </w:tcPr>
          <w:p w:rsidR="00000000" w:rsidRDefault="00AD063D">
            <w:pPr>
              <w:textAlignment w:val="baseline"/>
              <w:rPr>
                <w:sz w:val="22"/>
                <w:szCs w:val="22"/>
                <w:lang w:val="uk-UA"/>
              </w:rPr>
            </w:pPr>
            <w:r>
              <w:rPr>
                <w:sz w:val="22"/>
                <w:szCs w:val="22"/>
              </w:rPr>
              <w:t>Поточні зобов'язання</w:t>
            </w:r>
            <w:r>
              <w:rPr>
                <w:sz w:val="22"/>
                <w:szCs w:val="22"/>
                <w:lang w:val="uk-UA"/>
              </w:rPr>
              <w:t xml:space="preserve">                                           </w:t>
            </w:r>
          </w:p>
        </w:tc>
        <w:tc>
          <w:tcPr>
            <w:tcW w:w="1478"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9043,1</w:t>
            </w:r>
          </w:p>
        </w:tc>
        <w:tc>
          <w:tcPr>
            <w:tcW w:w="1565"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2519,5</w:t>
            </w:r>
          </w:p>
        </w:tc>
      </w:tr>
      <w:tr w:rsidR="00000000">
        <w:tc>
          <w:tcPr>
            <w:tcW w:w="6318" w:type="dxa"/>
            <w:tcBorders>
              <w:top w:val="single" w:sz="2" w:space="0" w:color="000000"/>
              <w:left w:val="single" w:sz="2" w:space="0" w:color="000000"/>
              <w:bottom w:val="single" w:sz="2" w:space="0" w:color="000000"/>
              <w:right w:val="single" w:sz="2" w:space="0" w:color="000000"/>
            </w:tcBorders>
            <w:hideMark/>
          </w:tcPr>
          <w:p w:rsidR="00000000" w:rsidRDefault="00AD063D">
            <w:pPr>
              <w:textAlignment w:val="baseline"/>
              <w:rPr>
                <w:sz w:val="22"/>
                <w:szCs w:val="22"/>
              </w:rPr>
            </w:pPr>
            <w:r>
              <w:rPr>
                <w:sz w:val="22"/>
                <w:szCs w:val="22"/>
              </w:rPr>
              <w:t>Чистий прибуток (збиток)</w:t>
            </w:r>
          </w:p>
        </w:tc>
        <w:tc>
          <w:tcPr>
            <w:tcW w:w="1478"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43829,3</w:t>
            </w:r>
          </w:p>
        </w:tc>
        <w:tc>
          <w:tcPr>
            <w:tcW w:w="1565"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6386,3</w:t>
            </w:r>
          </w:p>
        </w:tc>
      </w:tr>
      <w:tr w:rsidR="00000000">
        <w:tc>
          <w:tcPr>
            <w:tcW w:w="6318" w:type="dxa"/>
            <w:tcBorders>
              <w:top w:val="single" w:sz="2" w:space="0" w:color="000000"/>
              <w:left w:val="single" w:sz="2" w:space="0" w:color="000000"/>
              <w:bottom w:val="single" w:sz="2" w:space="0" w:color="000000"/>
              <w:right w:val="single" w:sz="2" w:space="0" w:color="000000"/>
            </w:tcBorders>
            <w:hideMark/>
          </w:tcPr>
          <w:p w:rsidR="00000000" w:rsidRDefault="00AD063D">
            <w:pPr>
              <w:textAlignment w:val="baseline"/>
              <w:rPr>
                <w:sz w:val="22"/>
                <w:szCs w:val="22"/>
              </w:rPr>
            </w:pPr>
            <w:r>
              <w:rPr>
                <w:sz w:val="22"/>
                <w:szCs w:val="22"/>
              </w:rPr>
              <w:t>Середньорічна кількість акцій (шт.)</w:t>
            </w:r>
          </w:p>
        </w:tc>
        <w:tc>
          <w:tcPr>
            <w:tcW w:w="1478"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lang w:val="uk-UA"/>
              </w:rPr>
            </w:pPr>
            <w:r>
              <w:rPr>
                <w:sz w:val="22"/>
                <w:szCs w:val="22"/>
                <w:lang w:val="uk-UA"/>
              </w:rPr>
              <w:t>314027</w:t>
            </w:r>
          </w:p>
        </w:tc>
        <w:tc>
          <w:tcPr>
            <w:tcW w:w="1565"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lang w:val="uk-UA"/>
              </w:rPr>
            </w:pPr>
            <w:r>
              <w:rPr>
                <w:sz w:val="22"/>
                <w:szCs w:val="22"/>
                <w:lang w:val="uk-UA"/>
              </w:rPr>
              <w:t>314027</w:t>
            </w:r>
          </w:p>
        </w:tc>
      </w:tr>
      <w:tr w:rsidR="00000000">
        <w:tc>
          <w:tcPr>
            <w:tcW w:w="6318" w:type="dxa"/>
            <w:tcBorders>
              <w:top w:val="single" w:sz="2" w:space="0" w:color="000000"/>
              <w:left w:val="single" w:sz="2" w:space="0" w:color="000000"/>
              <w:bottom w:val="single" w:sz="2" w:space="0" w:color="000000"/>
              <w:right w:val="single" w:sz="2" w:space="0" w:color="000000"/>
            </w:tcBorders>
            <w:hideMark/>
          </w:tcPr>
          <w:p w:rsidR="00000000" w:rsidRDefault="00AD063D">
            <w:pPr>
              <w:textAlignment w:val="baseline"/>
              <w:rPr>
                <w:sz w:val="22"/>
                <w:szCs w:val="22"/>
              </w:rPr>
            </w:pPr>
            <w:r>
              <w:rPr>
                <w:sz w:val="22"/>
                <w:szCs w:val="22"/>
              </w:rPr>
              <w:t>Кількість власних акцій, викуплених протягом періоду (шт.)</w:t>
            </w:r>
          </w:p>
        </w:tc>
        <w:tc>
          <w:tcPr>
            <w:tcW w:w="1478"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lang w:val="uk-UA"/>
              </w:rPr>
            </w:pPr>
            <w:r>
              <w:rPr>
                <w:sz w:val="22"/>
                <w:szCs w:val="22"/>
                <w:lang w:val="uk-UA"/>
              </w:rPr>
              <w:t>-</w:t>
            </w:r>
          </w:p>
        </w:tc>
        <w:tc>
          <w:tcPr>
            <w:tcW w:w="1565"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lang w:val="uk-UA"/>
              </w:rPr>
            </w:pPr>
            <w:r>
              <w:rPr>
                <w:sz w:val="22"/>
                <w:szCs w:val="22"/>
                <w:lang w:val="uk-UA"/>
              </w:rPr>
              <w:t>-</w:t>
            </w:r>
          </w:p>
        </w:tc>
      </w:tr>
      <w:tr w:rsidR="00000000">
        <w:tc>
          <w:tcPr>
            <w:tcW w:w="6318" w:type="dxa"/>
            <w:tcBorders>
              <w:top w:val="single" w:sz="2" w:space="0" w:color="000000"/>
              <w:left w:val="single" w:sz="2" w:space="0" w:color="000000"/>
              <w:bottom w:val="single" w:sz="2" w:space="0" w:color="000000"/>
              <w:right w:val="single" w:sz="2" w:space="0" w:color="000000"/>
            </w:tcBorders>
            <w:hideMark/>
          </w:tcPr>
          <w:p w:rsidR="00000000" w:rsidRDefault="00AD063D">
            <w:pPr>
              <w:textAlignment w:val="baseline"/>
              <w:rPr>
                <w:sz w:val="22"/>
                <w:szCs w:val="22"/>
              </w:rPr>
            </w:pPr>
            <w:r>
              <w:rPr>
                <w:sz w:val="22"/>
                <w:szCs w:val="22"/>
              </w:rPr>
              <w:t>Загальна сума коштів, витрачених на викуп власних акцій протягом періоду</w:t>
            </w:r>
          </w:p>
        </w:tc>
        <w:tc>
          <w:tcPr>
            <w:tcW w:w="1478"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lang w:val="uk-UA"/>
              </w:rPr>
            </w:pPr>
            <w:r>
              <w:rPr>
                <w:sz w:val="22"/>
                <w:szCs w:val="22"/>
                <w:lang w:val="uk-UA"/>
              </w:rPr>
              <w:t>-</w:t>
            </w:r>
          </w:p>
        </w:tc>
        <w:tc>
          <w:tcPr>
            <w:tcW w:w="1565"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lang w:val="uk-UA"/>
              </w:rPr>
            </w:pPr>
            <w:r>
              <w:rPr>
                <w:sz w:val="22"/>
                <w:szCs w:val="22"/>
                <w:lang w:val="uk-UA"/>
              </w:rPr>
              <w:t>-</w:t>
            </w:r>
          </w:p>
        </w:tc>
      </w:tr>
      <w:tr w:rsidR="00000000">
        <w:tc>
          <w:tcPr>
            <w:tcW w:w="6318" w:type="dxa"/>
            <w:tcBorders>
              <w:top w:val="single" w:sz="2" w:space="0" w:color="000000"/>
              <w:left w:val="single" w:sz="2" w:space="0" w:color="000000"/>
              <w:bottom w:val="single" w:sz="2" w:space="0" w:color="000000"/>
              <w:right w:val="single" w:sz="2" w:space="0" w:color="000000"/>
            </w:tcBorders>
            <w:hideMark/>
          </w:tcPr>
          <w:p w:rsidR="00000000" w:rsidRDefault="00AD063D">
            <w:pPr>
              <w:textAlignment w:val="baseline"/>
              <w:rPr>
                <w:sz w:val="22"/>
                <w:szCs w:val="22"/>
                <w:highlight w:val="yellow"/>
              </w:rPr>
            </w:pPr>
            <w:r>
              <w:rPr>
                <w:sz w:val="22"/>
                <w:szCs w:val="22"/>
              </w:rPr>
              <w:t>Чисельність працівників на кінець періоду (осіб)</w:t>
            </w:r>
          </w:p>
        </w:tc>
        <w:tc>
          <w:tcPr>
            <w:tcW w:w="1478"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51</w:t>
            </w:r>
          </w:p>
        </w:tc>
        <w:tc>
          <w:tcPr>
            <w:tcW w:w="1565" w:type="dxa"/>
            <w:tcBorders>
              <w:top w:val="single" w:sz="2" w:space="0" w:color="000000"/>
              <w:left w:val="single" w:sz="2" w:space="0" w:color="000000"/>
              <w:bottom w:val="single" w:sz="2" w:space="0" w:color="000000"/>
              <w:right w:val="single" w:sz="2" w:space="0" w:color="000000"/>
            </w:tcBorders>
            <w:hideMark/>
          </w:tcPr>
          <w:p w:rsidR="00000000" w:rsidRDefault="00AD063D">
            <w:pPr>
              <w:jc w:val="center"/>
              <w:textAlignment w:val="baseline"/>
              <w:rPr>
                <w:sz w:val="22"/>
                <w:szCs w:val="22"/>
              </w:rPr>
            </w:pPr>
            <w:r>
              <w:rPr>
                <w:sz w:val="22"/>
                <w:szCs w:val="22"/>
              </w:rPr>
              <w:t>42</w:t>
            </w:r>
          </w:p>
        </w:tc>
      </w:tr>
    </w:tbl>
    <w:p w:rsidR="00000000" w:rsidRDefault="00AD063D">
      <w:pPr>
        <w:shd w:val="clear" w:color="auto" w:fill="FFFFFF"/>
        <w:textAlignment w:val="baseline"/>
        <w:rPr>
          <w:color w:val="000000"/>
          <w:sz w:val="22"/>
          <w:szCs w:val="22"/>
          <w:lang w:val="uk-UA"/>
        </w:rPr>
      </w:pPr>
      <w:bookmarkStart w:id="2" w:name="n900"/>
      <w:bookmarkEnd w:id="2"/>
      <w:r>
        <w:rPr>
          <w:color w:val="000000"/>
          <w:sz w:val="22"/>
          <w:szCs w:val="22"/>
          <w:lang w:val="uk-UA"/>
        </w:rPr>
        <w:t>Основні показники за 2014 рік наведені з урахуванням  коригувань при виправлені помилок.</w:t>
      </w:r>
    </w:p>
    <w:p w:rsidR="00000000" w:rsidRDefault="00AD063D">
      <w:pPr>
        <w:shd w:val="clear" w:color="auto" w:fill="FFFFFF"/>
        <w:textAlignment w:val="baseline"/>
        <w:rPr>
          <w:color w:val="000000"/>
          <w:sz w:val="22"/>
          <w:szCs w:val="22"/>
          <w:lang w:val="uk-UA"/>
        </w:rPr>
      </w:pPr>
    </w:p>
    <w:p w:rsidR="00000000" w:rsidRDefault="00AD063D">
      <w:pPr>
        <w:shd w:val="clear" w:color="auto" w:fill="FFFFFF"/>
        <w:textAlignment w:val="baseline"/>
        <w:rPr>
          <w:color w:val="000000"/>
          <w:sz w:val="22"/>
          <w:szCs w:val="22"/>
          <w:lang w:val="uk-UA"/>
        </w:rPr>
      </w:pPr>
      <w:r>
        <w:rPr>
          <w:color w:val="000000"/>
          <w:sz w:val="22"/>
          <w:szCs w:val="22"/>
          <w:lang w:val="uk-UA"/>
        </w:rPr>
        <w:t>Повідомлення про проведення загальних зборів опубліковано 29.03.2016р. № 60 в Відомостях Національної комісії з цінних паперів та фондового ринку.</w:t>
      </w:r>
    </w:p>
    <w:p w:rsidR="00000000" w:rsidRDefault="00AD063D">
      <w:pPr>
        <w:shd w:val="clear" w:color="auto" w:fill="FFFFFF"/>
        <w:textAlignment w:val="baseline"/>
        <w:rPr>
          <w:color w:val="000000"/>
          <w:sz w:val="22"/>
          <w:szCs w:val="22"/>
          <w:lang w:val="uk-UA"/>
        </w:rPr>
      </w:pPr>
    </w:p>
    <w:p w:rsidR="00000000" w:rsidRDefault="00AD063D">
      <w:pPr>
        <w:shd w:val="clear" w:color="auto" w:fill="FFFFFF"/>
        <w:textAlignment w:val="baseline"/>
        <w:rPr>
          <w:color w:val="000000"/>
          <w:sz w:val="22"/>
          <w:szCs w:val="22"/>
          <w:lang w:val="uk-UA"/>
        </w:rPr>
      </w:pPr>
      <w:r>
        <w:rPr>
          <w:color w:val="000000"/>
          <w:sz w:val="22"/>
          <w:szCs w:val="22"/>
          <w:lang w:val="uk-UA"/>
        </w:rPr>
        <w:t>Підтверджую достов</w:t>
      </w:r>
      <w:r>
        <w:rPr>
          <w:color w:val="000000"/>
          <w:sz w:val="22"/>
          <w:szCs w:val="22"/>
          <w:lang w:val="uk-UA"/>
        </w:rPr>
        <w:t>ірність інформації, що міститься у повідомленні.</w:t>
      </w:r>
    </w:p>
    <w:p w:rsidR="00000000" w:rsidRDefault="00AD063D">
      <w:pPr>
        <w:jc w:val="both"/>
        <w:rPr>
          <w:sz w:val="22"/>
          <w:szCs w:val="22"/>
          <w:lang w:val="uk-UA"/>
        </w:rPr>
      </w:pPr>
      <w:r>
        <w:rPr>
          <w:sz w:val="22"/>
          <w:szCs w:val="22"/>
          <w:lang w:val="uk-UA"/>
        </w:rPr>
        <w:t>Генеральний директор                                                                                                 Б.Ф.Бевзенко</w:t>
      </w:r>
    </w:p>
    <w:p w:rsidR="00AD063D" w:rsidRDefault="00AD063D">
      <w:pPr>
        <w:jc w:val="both"/>
        <w:rPr>
          <w:sz w:val="22"/>
          <w:szCs w:val="22"/>
          <w:lang w:val="uk-UA"/>
        </w:rPr>
      </w:pPr>
      <w:r>
        <w:rPr>
          <w:sz w:val="22"/>
          <w:szCs w:val="22"/>
          <w:lang w:val="uk-UA"/>
        </w:rPr>
        <w:t xml:space="preserve">                                                                             </w:t>
      </w:r>
      <w:r>
        <w:rPr>
          <w:sz w:val="22"/>
          <w:szCs w:val="22"/>
          <w:lang w:val="uk-UA"/>
        </w:rPr>
        <w:t xml:space="preserve">                                                         29.03.2016р.</w:t>
      </w:r>
    </w:p>
    <w:sectPr w:rsidR="00AD063D">
      <w:pgSz w:w="11906" w:h="16838"/>
      <w:pgMar w:top="851"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proofState w:grammar="clean"/>
  <w:attachedTemplate r:id="rId1"/>
  <w:defaultTabStop w:val="708"/>
  <w:characterSpacingControl w:val="doNotCompress"/>
  <w:compat>
    <w:useNormalStyleForList/>
    <w:doNotUseIndentAsNumberingTabStop/>
    <w:useAltKinsokuLineBreakRules/>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5"/>
  </w:compat>
  <w:rsids>
    <w:rsidRoot w:val="00545A2E"/>
    <w:rsid w:val="00545A2E"/>
    <w:rsid w:val="00AD0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05D55A-6651-4C9F-945B-7A48295D2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uiPriority w:val="99"/>
    <w:semiHidden/>
    <w:pPr>
      <w:spacing w:before="100" w:beforeAutospacing="1" w:after="100" w:afterAutospacing="1"/>
    </w:p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881</Words>
  <Characters>5025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USERRR</dc:creator>
  <cp:keywords/>
  <dc:description/>
  <cp:lastModifiedBy>Privateer~</cp:lastModifiedBy>
  <cp:revision>2</cp:revision>
  <dcterms:created xsi:type="dcterms:W3CDTF">2021-06-15T16:42:00Z</dcterms:created>
  <dcterms:modified xsi:type="dcterms:W3CDTF">2021-06-15T16:42:00Z</dcterms:modified>
</cp:coreProperties>
</file>