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923AB">
      <w:pPr>
        <w:jc w:val="both"/>
        <w:rPr>
          <w:lang w:val="uk-UA" w:eastAsia="uk-UA"/>
        </w:rPr>
      </w:pPr>
      <w:bookmarkStart w:id="0" w:name="_GoBack"/>
      <w:bookmarkEnd w:id="0"/>
      <w:r>
        <w:rPr>
          <w:lang w:val="uk-UA" w:eastAsia="uk-UA"/>
        </w:rPr>
        <w:t xml:space="preserve">                                                                                                             Затверджено:</w:t>
      </w:r>
    </w:p>
    <w:p w:rsidR="00000000" w:rsidRDefault="005923AB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                                                                                         </w:t>
      </w:r>
      <w:r>
        <w:rPr>
          <w:lang w:val="uk-UA" w:eastAsia="uk-UA"/>
        </w:rPr>
        <w:t>Наглядова рада Товариства</w:t>
      </w:r>
    </w:p>
    <w:p w:rsidR="00000000" w:rsidRDefault="005923AB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                                                                                         Протокол  № 6 від 20.03.2017 р.                                                                                          </w:t>
      </w:r>
      <w:r>
        <w:rPr>
          <w:lang w:val="uk-UA" w:eastAsia="uk-UA"/>
        </w:rPr>
        <w:t xml:space="preserve">                 </w:t>
      </w:r>
    </w:p>
    <w:p w:rsidR="00000000" w:rsidRDefault="005923AB">
      <w:pPr>
        <w:jc w:val="both"/>
        <w:rPr>
          <w:lang w:val="uk-UA" w:eastAsia="uk-UA"/>
        </w:rPr>
      </w:pPr>
    </w:p>
    <w:p w:rsidR="00000000" w:rsidRDefault="005923AB">
      <w:pPr>
        <w:spacing w:after="120"/>
        <w:jc w:val="both"/>
        <w:rPr>
          <w:b/>
          <w:lang w:val="uk-UA"/>
        </w:rPr>
      </w:pPr>
    </w:p>
    <w:p w:rsidR="00000000" w:rsidRDefault="005923AB">
      <w:pPr>
        <w:spacing w:after="120"/>
        <w:jc w:val="both"/>
        <w:rPr>
          <w:b/>
        </w:rPr>
      </w:pPr>
      <w:r>
        <w:rPr>
          <w:b/>
        </w:rPr>
        <w:t>ПОРЯДОК ДЕННИЙ РІЧНИХ ЗАГАЛЬНИХ ЗБОРІВ ТОВАРИСТВА</w:t>
      </w:r>
    </w:p>
    <w:p w:rsidR="00000000" w:rsidRDefault="005923AB">
      <w:pPr>
        <w:jc w:val="both"/>
      </w:pPr>
      <w:r>
        <w:t xml:space="preserve">1. Обрання членів Лічильної комісії та припинення їх повноважень. </w:t>
      </w:r>
    </w:p>
    <w:p w:rsidR="00000000" w:rsidRDefault="005923AB">
      <w:pPr>
        <w:tabs>
          <w:tab w:val="num" w:pos="426"/>
        </w:tabs>
        <w:jc w:val="both"/>
      </w:pPr>
      <w:r>
        <w:t>2. Обрання Секретаря Загальних зборів Товариства.</w:t>
      </w:r>
    </w:p>
    <w:p w:rsidR="00000000" w:rsidRDefault="005923AB">
      <w:pPr>
        <w:tabs>
          <w:tab w:val="num" w:pos="426"/>
        </w:tabs>
        <w:jc w:val="both"/>
      </w:pPr>
      <w:r>
        <w:t>3. Затвердження порядку проведення (регламенту) річних Загальних збор</w:t>
      </w:r>
      <w:r>
        <w:t xml:space="preserve">ів Товариства. </w:t>
      </w:r>
    </w:p>
    <w:p w:rsidR="00000000" w:rsidRDefault="005923AB">
      <w:pPr>
        <w:jc w:val="both"/>
      </w:pPr>
      <w:r>
        <w:t xml:space="preserve">4. Звіт Генерального директора про результати фінансово-господарської діяльності Товариства за 2016 рік та прийняття рішення за наслідками  розгляду звіту Генерального директора. </w:t>
      </w:r>
    </w:p>
    <w:p w:rsidR="00000000" w:rsidRDefault="005923AB">
      <w:pPr>
        <w:tabs>
          <w:tab w:val="num" w:pos="426"/>
        </w:tabs>
        <w:jc w:val="both"/>
      </w:pPr>
      <w:r>
        <w:t xml:space="preserve">5. Звіт Наглядової ради Товариства за 2016 рік та прийняття </w:t>
      </w:r>
      <w:r>
        <w:t>рішення за наслідками  розгляду звіту Наглядової ради.</w:t>
      </w:r>
    </w:p>
    <w:p w:rsidR="00000000" w:rsidRDefault="005923AB">
      <w:pPr>
        <w:tabs>
          <w:tab w:val="num" w:pos="426"/>
        </w:tabs>
        <w:jc w:val="both"/>
      </w:pPr>
      <w:r>
        <w:t xml:space="preserve">6. Звіт Ревізора Товариства за 2016 рік та прийняття рішення за наслідками розгляду звіту Ревізора. Затвердження висновків Ревізора Товариства. </w:t>
      </w:r>
    </w:p>
    <w:p w:rsidR="00000000" w:rsidRDefault="005923AB">
      <w:pPr>
        <w:tabs>
          <w:tab w:val="num" w:pos="426"/>
        </w:tabs>
        <w:jc w:val="both"/>
      </w:pPr>
      <w:r>
        <w:t xml:space="preserve">7. Затвердження річного звіту  ПрАТ «КЕРАМПРОМ» за 2016 </w:t>
      </w:r>
      <w:r>
        <w:t>рік.</w:t>
      </w:r>
    </w:p>
    <w:p w:rsidR="00000000" w:rsidRDefault="005923AB">
      <w:pPr>
        <w:jc w:val="both"/>
      </w:pPr>
      <w:r>
        <w:t>8. Про розподіл прибутку ПрАТ «КЕРАМПРОМ» за 2016 рік.</w:t>
      </w:r>
    </w:p>
    <w:p w:rsidR="00000000" w:rsidRDefault="005923AB">
      <w:pPr>
        <w:tabs>
          <w:tab w:val="num" w:pos="426"/>
        </w:tabs>
        <w:jc w:val="both"/>
      </w:pPr>
      <w:r>
        <w:t>9. Затвердження розміру річних дивідендів за підсумками роботи в 2016 році, визначення способу виплати дивідендів.</w:t>
      </w:r>
    </w:p>
    <w:p w:rsidR="00000000" w:rsidRDefault="005923AB">
      <w:pPr>
        <w:jc w:val="both"/>
        <w:outlineLvl w:val="0"/>
        <w:rPr>
          <w:i/>
          <w:color w:val="7030A0"/>
        </w:rPr>
      </w:pPr>
      <w:r>
        <w:t>10. Затвердження Кошторису витрат на утримання Наглядової ради Товариства</w:t>
      </w:r>
      <w:r>
        <w:rPr>
          <w:color w:val="000000"/>
        </w:rPr>
        <w:t xml:space="preserve"> </w:t>
      </w:r>
      <w:r>
        <w:t>ПрАТ «К</w:t>
      </w:r>
      <w:r>
        <w:t>ЕРАМПРОМ» на один рік з дати прийняття рішення Загальними зборами Товариства.</w:t>
      </w:r>
      <w:r>
        <w:rPr>
          <w:i/>
          <w:color w:val="7030A0"/>
        </w:rPr>
        <w:t xml:space="preserve">                                   </w:t>
      </w:r>
    </w:p>
    <w:p w:rsidR="00000000" w:rsidRDefault="005923AB">
      <w:pPr>
        <w:jc w:val="both"/>
        <w:outlineLvl w:val="0"/>
      </w:pPr>
      <w:r>
        <w:t>11. Про зміну місцезнаходження Товариства в зв’язку з перейменуванням назви населеного пункту.</w:t>
      </w:r>
    </w:p>
    <w:p w:rsidR="00000000" w:rsidRDefault="005923AB">
      <w:pPr>
        <w:tabs>
          <w:tab w:val="num" w:pos="426"/>
        </w:tabs>
        <w:jc w:val="both"/>
      </w:pPr>
      <w:r>
        <w:t>12. Внесення змін до Статуту Товариства шляхом в</w:t>
      </w:r>
      <w:r>
        <w:t>икладення його в новій редакції, затвердження нової редакції Статуту ПРИВАТНОГО АКЦІОНЕРНОГО ТОВАРИСТВА «КЕРАМПРОМ», надання повноважень на його підписання та проведення державної реєстрації.</w:t>
      </w:r>
    </w:p>
    <w:p w:rsidR="00000000" w:rsidRDefault="005923AB">
      <w:pPr>
        <w:tabs>
          <w:tab w:val="num" w:pos="426"/>
        </w:tabs>
        <w:jc w:val="both"/>
      </w:pPr>
      <w:r>
        <w:t xml:space="preserve">13. Прийняття рішення про надання згоди на вчинення Товариством </w:t>
      </w:r>
      <w:r>
        <w:t>значних правочинів.</w:t>
      </w:r>
    </w:p>
    <w:p w:rsidR="00000000" w:rsidRDefault="005923AB">
      <w:pPr>
        <w:tabs>
          <w:tab w:val="num" w:pos="426"/>
        </w:tabs>
        <w:spacing w:after="120"/>
        <w:jc w:val="both"/>
        <w:rPr>
          <w:lang w:val="uk-UA"/>
        </w:rPr>
      </w:pPr>
      <w:r>
        <w:t>14. Прийняття рішення про надання згоди на вчинення правочинів, щодо вчинення яких є заінтересованість.          .</w:t>
      </w:r>
    </w:p>
    <w:p w:rsidR="00000000" w:rsidRDefault="005923AB">
      <w:pPr>
        <w:spacing w:after="120"/>
        <w:rPr>
          <w:b/>
          <w:lang w:val="uk-UA"/>
        </w:rPr>
      </w:pPr>
    </w:p>
    <w:p w:rsidR="00000000" w:rsidRDefault="005923AB">
      <w:pPr>
        <w:spacing w:after="120"/>
        <w:rPr>
          <w:b/>
          <w:lang w:val="uk-UA"/>
        </w:rPr>
      </w:pPr>
      <w:r>
        <w:rPr>
          <w:b/>
          <w:lang w:val="uk-UA"/>
        </w:rPr>
        <w:t>ПРОЕКТИ РІШЕНЬ ЩОДО КОЖНОГО З ПИТАНЬ, ВКЛЮЧЕНИХ ДО ПРОЕКТУ ПОРЯДКУ ДЕННОГО:</w:t>
      </w:r>
    </w:p>
    <w:p w:rsidR="00000000" w:rsidRDefault="005923AB">
      <w:pPr>
        <w:rPr>
          <w:b/>
          <w:lang w:val="uk-UA"/>
        </w:rPr>
      </w:pPr>
      <w:r>
        <w:rPr>
          <w:lang w:val="uk-UA"/>
        </w:rPr>
        <w:t>1. </w:t>
      </w:r>
      <w:r>
        <w:rPr>
          <w:b/>
          <w:lang w:val="uk-UA"/>
        </w:rPr>
        <w:t>О</w:t>
      </w:r>
      <w:r>
        <w:rPr>
          <w:b/>
        </w:rPr>
        <w:t xml:space="preserve">брання </w:t>
      </w:r>
      <w:r>
        <w:rPr>
          <w:b/>
          <w:lang w:val="uk-UA"/>
        </w:rPr>
        <w:t>членів Л</w:t>
      </w:r>
      <w:r>
        <w:rPr>
          <w:b/>
        </w:rPr>
        <w:t xml:space="preserve">ічильної комісії </w:t>
      </w:r>
      <w:r>
        <w:rPr>
          <w:b/>
          <w:lang w:val="uk-UA"/>
        </w:rPr>
        <w:t>та припи</w:t>
      </w:r>
      <w:r>
        <w:rPr>
          <w:b/>
          <w:lang w:val="uk-UA"/>
        </w:rPr>
        <w:t>нення їх повноважень</w:t>
      </w:r>
      <w:r>
        <w:rPr>
          <w:b/>
        </w:rPr>
        <w:t xml:space="preserve">.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widowControl w:val="0"/>
        <w:suppressAutoHyphens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1. </w:t>
      </w:r>
      <w:r>
        <w:t>Обрати Лічильну комісію</w:t>
      </w:r>
      <w:r>
        <w:rPr>
          <w:lang w:val="uk-UA"/>
        </w:rPr>
        <w:t xml:space="preserve"> річних</w:t>
      </w:r>
      <w:r>
        <w:t xml:space="preserve"> Загальних зборів</w:t>
      </w:r>
      <w:r>
        <w:rPr>
          <w:lang w:val="uk-UA"/>
        </w:rPr>
        <w:t xml:space="preserve"> акціонерів з числа працівників Товариства</w:t>
      </w:r>
      <w:r>
        <w:rPr>
          <w:b/>
          <w:lang w:val="uk-UA"/>
        </w:rPr>
        <w:t xml:space="preserve"> </w:t>
      </w:r>
      <w:r>
        <w:t xml:space="preserve">у </w:t>
      </w:r>
      <w:r>
        <w:rPr>
          <w:lang w:val="uk-UA"/>
        </w:rPr>
        <w:t xml:space="preserve">наступному </w:t>
      </w:r>
      <w:r>
        <w:t>складі</w:t>
      </w:r>
      <w:r>
        <w:rPr>
          <w:lang w:val="uk-UA"/>
        </w:rPr>
        <w:t xml:space="preserve">: </w:t>
      </w:r>
    </w:p>
    <w:p w:rsidR="00000000" w:rsidRDefault="005923AB">
      <w:pPr>
        <w:widowControl w:val="0"/>
        <w:autoSpaceDE w:val="0"/>
        <w:autoSpaceDN w:val="0"/>
        <w:adjustRightInd w:val="0"/>
        <w:ind w:left="420"/>
        <w:jc w:val="both"/>
        <w:rPr>
          <w:lang w:val="uk-UA"/>
        </w:rPr>
      </w:pPr>
      <w:r>
        <w:rPr>
          <w:lang w:val="uk-UA"/>
        </w:rPr>
        <w:t>Голова Л</w:t>
      </w:r>
      <w:r>
        <w:t>ічильної комісії    -   Радченко Валентин Вікторович</w:t>
      </w:r>
      <w:r>
        <w:rPr>
          <w:lang w:val="uk-UA"/>
        </w:rPr>
        <w:t>,</w:t>
      </w:r>
    </w:p>
    <w:p w:rsidR="00000000" w:rsidRDefault="005923AB">
      <w:pPr>
        <w:widowControl w:val="0"/>
        <w:autoSpaceDE w:val="0"/>
        <w:autoSpaceDN w:val="0"/>
        <w:adjustRightInd w:val="0"/>
        <w:jc w:val="both"/>
        <w:rPr>
          <w:color w:val="C00000"/>
          <w:lang w:val="uk-UA"/>
        </w:rPr>
      </w:pPr>
      <w:r>
        <w:rPr>
          <w:lang w:val="uk-UA"/>
        </w:rPr>
        <w:t xml:space="preserve">       </w:t>
      </w:r>
      <w:r>
        <w:t>Член</w:t>
      </w:r>
      <w:r>
        <w:rPr>
          <w:lang w:val="uk-UA"/>
        </w:rPr>
        <w:t xml:space="preserve"> Л</w:t>
      </w:r>
      <w:r>
        <w:t xml:space="preserve">ічильної комісії       -   </w:t>
      </w:r>
      <w:r>
        <w:t>Ходушина Ангел</w:t>
      </w:r>
      <w:r>
        <w:rPr>
          <w:lang w:val="uk-UA"/>
        </w:rPr>
        <w:t>іна Олександрівна.</w:t>
      </w:r>
    </w:p>
    <w:p w:rsidR="00000000" w:rsidRDefault="005923AB">
      <w:pPr>
        <w:jc w:val="both"/>
        <w:rPr>
          <w:lang w:val="uk-UA"/>
        </w:rPr>
      </w:pPr>
      <w:r>
        <w:t>1.2. </w:t>
      </w:r>
      <w:r>
        <w:rPr>
          <w:lang w:val="uk-UA"/>
        </w:rPr>
        <w:t>Припинити п</w:t>
      </w:r>
      <w:r>
        <w:t xml:space="preserve">овноваження членів </w:t>
      </w:r>
      <w:r>
        <w:rPr>
          <w:lang w:val="uk-UA"/>
        </w:rPr>
        <w:t>Л</w:t>
      </w:r>
      <w:r>
        <w:t>ічильної комісії</w:t>
      </w:r>
      <w:r>
        <w:rPr>
          <w:lang w:val="uk-UA"/>
        </w:rPr>
        <w:t xml:space="preserve"> річних</w:t>
      </w:r>
      <w:r>
        <w:t xml:space="preserve"> Загальних зборів</w:t>
      </w:r>
      <w:r>
        <w:rPr>
          <w:lang w:val="uk-UA"/>
        </w:rPr>
        <w:t xml:space="preserve"> Товариства </w:t>
      </w:r>
      <w:r>
        <w:t>після виконання покладених на них обов’язків у повному обсязі.</w:t>
      </w:r>
    </w:p>
    <w:p w:rsidR="00000000" w:rsidRDefault="005923AB">
      <w:pPr>
        <w:rPr>
          <w:b/>
          <w:lang w:val="uk-UA"/>
        </w:rPr>
      </w:pPr>
    </w:p>
    <w:p w:rsidR="00000000" w:rsidRDefault="005923AB">
      <w:pPr>
        <w:rPr>
          <w:lang w:val="uk-UA"/>
        </w:rPr>
      </w:pPr>
      <w:r>
        <w:rPr>
          <w:b/>
        </w:rPr>
        <w:t>2</w:t>
      </w:r>
      <w:r>
        <w:rPr>
          <w:b/>
          <w:lang w:val="uk-UA"/>
        </w:rPr>
        <w:t>.</w:t>
      </w:r>
      <w:r>
        <w:rPr>
          <w:lang w:val="uk-UA"/>
        </w:rPr>
        <w:t> </w:t>
      </w:r>
      <w:r>
        <w:rPr>
          <w:b/>
          <w:lang w:val="uk-UA"/>
        </w:rPr>
        <w:t>О</w:t>
      </w:r>
      <w:r>
        <w:rPr>
          <w:b/>
        </w:rPr>
        <w:t xml:space="preserve">брання </w:t>
      </w:r>
      <w:r>
        <w:rPr>
          <w:b/>
          <w:lang w:val="uk-UA"/>
        </w:rPr>
        <w:t xml:space="preserve">Секретаря </w:t>
      </w:r>
      <w:r>
        <w:rPr>
          <w:b/>
        </w:rPr>
        <w:t>Загальних зборів</w:t>
      </w:r>
      <w:r>
        <w:t xml:space="preserve"> </w:t>
      </w:r>
      <w:r>
        <w:rPr>
          <w:b/>
          <w:lang w:val="uk-UA"/>
        </w:rPr>
        <w:t>Товариства</w:t>
      </w:r>
      <w:r>
        <w:t>.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1. </w:t>
      </w:r>
      <w:r>
        <w:t>Об</w:t>
      </w:r>
      <w:r>
        <w:t xml:space="preserve">рати </w:t>
      </w:r>
      <w:r>
        <w:rPr>
          <w:lang w:val="uk-UA"/>
        </w:rPr>
        <w:t>Секретарем</w:t>
      </w:r>
      <w:r>
        <w:t xml:space="preserve"> Загальних зборів </w:t>
      </w:r>
      <w:r>
        <w:rPr>
          <w:lang w:val="uk-UA"/>
        </w:rPr>
        <w:t>Шеставіну Аллу Анатоліївну.</w:t>
      </w:r>
    </w:p>
    <w:p w:rsidR="00000000" w:rsidRDefault="005923AB">
      <w:pPr>
        <w:ind w:left="420"/>
        <w:jc w:val="both"/>
        <w:rPr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3.</w:t>
      </w:r>
      <w:r>
        <w:rPr>
          <w:b/>
          <w:lang w:val="uk-UA"/>
        </w:rPr>
        <w:t> </w:t>
      </w:r>
      <w:r>
        <w:rPr>
          <w:b/>
        </w:rPr>
        <w:t xml:space="preserve">Затвердження порядку (регламенту) проведення </w:t>
      </w:r>
      <w:r>
        <w:rPr>
          <w:b/>
          <w:lang w:val="uk-UA"/>
        </w:rPr>
        <w:t xml:space="preserve">річних </w:t>
      </w:r>
      <w:r>
        <w:rPr>
          <w:b/>
        </w:rPr>
        <w:t xml:space="preserve">Загальних зборів Товариства.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tabs>
          <w:tab w:val="num" w:pos="426"/>
        </w:tabs>
        <w:jc w:val="both"/>
      </w:pPr>
      <w:r>
        <w:t xml:space="preserve">3. Затвердити наступний порядок (регламент) проведення </w:t>
      </w:r>
      <w:r>
        <w:rPr>
          <w:lang w:val="uk-UA"/>
        </w:rPr>
        <w:t xml:space="preserve">річних </w:t>
      </w:r>
      <w:r>
        <w:t>Загальних зборів Приватного акц</w:t>
      </w:r>
      <w:r>
        <w:t>іонерного товариства «КЕРАМПРОМ»:</w:t>
      </w:r>
    </w:p>
    <w:p w:rsidR="00000000" w:rsidRDefault="005923AB">
      <w:pPr>
        <w:pStyle w:val="af"/>
        <w:widowControl w:val="0"/>
        <w:tabs>
          <w:tab w:val="left" w:pos="180"/>
        </w:tabs>
        <w:autoSpaceDN w:val="0"/>
        <w:adjustRightInd w:val="0"/>
        <w:spacing w:after="0"/>
      </w:pPr>
      <w:r>
        <w:t>3.1. Виступи з питань порядку денного на Загальних зборах:</w:t>
      </w:r>
    </w:p>
    <w:p w:rsidR="00000000" w:rsidRDefault="005923AB">
      <w:pPr>
        <w:pStyle w:val="af"/>
        <w:widowControl w:val="0"/>
        <w:tabs>
          <w:tab w:val="left" w:pos="180"/>
        </w:tabs>
        <w:autoSpaceDN w:val="0"/>
        <w:adjustRightInd w:val="0"/>
        <w:spacing w:after="0"/>
        <w:ind w:left="720"/>
        <w:rPr>
          <w:lang w:val="uk-UA"/>
        </w:rPr>
      </w:pPr>
      <w:r>
        <w:t>основна доповідь             -   до 10 хвилин</w:t>
      </w:r>
      <w:r>
        <w:rPr>
          <w:lang w:val="uk-UA"/>
        </w:rPr>
        <w:t>,</w:t>
      </w:r>
    </w:p>
    <w:p w:rsidR="00000000" w:rsidRDefault="005923AB">
      <w:pPr>
        <w:widowControl w:val="0"/>
        <w:autoSpaceDE w:val="0"/>
        <w:autoSpaceDN w:val="0"/>
        <w:adjustRightInd w:val="0"/>
        <w:ind w:left="720"/>
        <w:jc w:val="both"/>
      </w:pPr>
      <w:r>
        <w:lastRenderedPageBreak/>
        <w:t xml:space="preserve">відповіді на запитання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</w:t>
      </w:r>
      <w:r>
        <w:t xml:space="preserve">-   до </w:t>
      </w:r>
      <w:r>
        <w:rPr>
          <w:lang w:val="uk-UA"/>
        </w:rPr>
        <w:t xml:space="preserve"> </w:t>
      </w:r>
      <w:r>
        <w:t>5 хвилин.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3.</w:t>
      </w:r>
      <w:r>
        <w:t xml:space="preserve">2. Щодо порядку голосування та підрахунку голосів з питань </w:t>
      </w:r>
      <w:r>
        <w:t xml:space="preserve">порядку денного річних </w:t>
      </w:r>
      <w:r>
        <w:rPr>
          <w:lang w:val="uk-UA"/>
        </w:rPr>
        <w:t>З</w:t>
      </w:r>
      <w:r>
        <w:t>агальних зборів акціонерів</w:t>
      </w:r>
      <w:r>
        <w:rPr>
          <w:lang w:val="uk-UA"/>
        </w:rPr>
        <w:t>:</w:t>
      </w:r>
    </w:p>
    <w:p w:rsidR="00000000" w:rsidRDefault="005923AB">
      <w:pPr>
        <w:jc w:val="both"/>
      </w:pPr>
      <w:r>
        <w:t>1) Голосування з усіх питань порядку денного проводиться бюлетенями, які акціонери та їх представники отримують при реєстрації.</w:t>
      </w:r>
    </w:p>
    <w:p w:rsidR="00000000" w:rsidRDefault="005923AB">
      <w:pPr>
        <w:jc w:val="both"/>
        <w:rPr>
          <w:lang w:val="uk-UA"/>
        </w:rPr>
      </w:pPr>
      <w:r>
        <w:t xml:space="preserve">2) Одна голосуюча акція </w:t>
      </w:r>
      <w:r>
        <w:t>надає акціонеру один голос для вирішення кожного з питань</w:t>
      </w:r>
      <w:r>
        <w:rPr>
          <w:lang w:val="uk-UA"/>
        </w:rPr>
        <w:t>,</w:t>
      </w:r>
      <w:r>
        <w:t xml:space="preserve"> винесених на голосування на Загальних зборах.    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3) Приймати рішення з питання порядку денного, винесеного на голосування,  в т.ч. з процедурних питань, крім питань 12-14 - простою більшістю голос</w:t>
      </w:r>
      <w:r>
        <w:rPr>
          <w:lang w:val="uk-UA"/>
        </w:rPr>
        <w:t>ів акціонерів, які зареєструватись для участі у річних Загальних зборах та є власниками голосуючих з відповідного питання акцій.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4) Рішення з  питання 12  порядку денного річних Загальних зборів  приймається більш як трьома чвертями голосів акціонерів, які</w:t>
      </w:r>
      <w:r>
        <w:rPr>
          <w:lang w:val="uk-UA"/>
        </w:rPr>
        <w:t xml:space="preserve"> зареєструватись для участі у  річних Загальних зборах та є власниками голосуючих з відповідного питання акцій.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5) Рішення з питання 13  порядку денного річних Загальних зборів приймається більш як 50 відсотками голосів акціонерів від їх загальної кількост</w:t>
      </w:r>
      <w:r>
        <w:rPr>
          <w:lang w:val="uk-UA"/>
        </w:rPr>
        <w:t xml:space="preserve">і. 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 xml:space="preserve">6) Рішення з </w:t>
      </w:r>
      <w:r>
        <w:t xml:space="preserve"> питанн</w:t>
      </w:r>
      <w:r>
        <w:rPr>
          <w:lang w:val="uk-UA"/>
        </w:rPr>
        <w:t>я 14 порядку денного річних Загальних зборів приймається більшістю голосів незаінтересованих акціонерів,  які зареєструвалися для участі в річних Загальних зборах  та яким належать голосуючі з цього питання акції.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7</w:t>
      </w:r>
      <w:r>
        <w:t>) Бюлетень для го</w:t>
      </w:r>
      <w:r>
        <w:t>лосування визна</w:t>
      </w:r>
      <w:r>
        <w:rPr>
          <w:lang w:val="uk-UA"/>
        </w:rPr>
        <w:t>ється недійсним у разі, якщо на ньому відсутній підпис акціонера (представника акціонера), а також відсутні реквізити акціонера (представника акціонера).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 xml:space="preserve">8) </w:t>
      </w:r>
      <w:r>
        <w:t>Бюлетен</w:t>
      </w:r>
      <w:r>
        <w:rPr>
          <w:lang w:val="uk-UA"/>
        </w:rPr>
        <w:t>і</w:t>
      </w:r>
      <w:r>
        <w:t xml:space="preserve"> для голосування</w:t>
      </w:r>
      <w:r>
        <w:rPr>
          <w:lang w:val="uk-UA"/>
        </w:rPr>
        <w:t>,</w:t>
      </w:r>
      <w:r>
        <w:t xml:space="preserve"> визна</w:t>
      </w:r>
      <w:r>
        <w:rPr>
          <w:lang w:val="uk-UA"/>
        </w:rPr>
        <w:t>ні недійсними, не враховуються під час підрахунку гол</w:t>
      </w:r>
      <w:r>
        <w:rPr>
          <w:lang w:val="uk-UA"/>
        </w:rPr>
        <w:t>осів.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9) Голова річних Загальних зборів акціонерів оголошує питання порядку денного і ставить питання на голосування.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 xml:space="preserve">10) Підрахунок результатів голосування з кожного </w:t>
      </w:r>
      <w:r>
        <w:t>питан</w:t>
      </w:r>
      <w:r>
        <w:rPr>
          <w:lang w:val="uk-UA"/>
        </w:rPr>
        <w:t>ня</w:t>
      </w:r>
      <w:r>
        <w:t xml:space="preserve"> порядку денного</w:t>
      </w:r>
      <w:r>
        <w:rPr>
          <w:lang w:val="uk-UA"/>
        </w:rPr>
        <w:t xml:space="preserve"> здійснюється Лічильною комісією після обговорення та голосування </w:t>
      </w:r>
      <w:r>
        <w:rPr>
          <w:lang w:val="uk-UA"/>
        </w:rPr>
        <w:t>з кожного питання порядку денного.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3.3</w:t>
      </w:r>
      <w:r>
        <w:t>. Щодо</w:t>
      </w:r>
      <w:r>
        <w:rPr>
          <w:lang w:val="uk-UA"/>
        </w:rPr>
        <w:t xml:space="preserve"> розгляду питань порядку денного річних Загальних зборів акціонерів: 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1) Річні Загальні збори акціонерів Товариства продовжуються до завершення розгляду всіх питань порядку денного та доведення до відома акціонер</w:t>
      </w:r>
      <w:r>
        <w:rPr>
          <w:lang w:val="uk-UA"/>
        </w:rPr>
        <w:t>ів інформації про результати голосування та прийнятті рішення.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2) На річних Загальних зборах акціонерів голосування проводиться з усіх питань порядку денного, винесених на голосування.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3) У разі наявності більш ніж одного проекту рішення щодо конкретного п</w:t>
      </w:r>
      <w:r>
        <w:rPr>
          <w:lang w:val="uk-UA"/>
        </w:rPr>
        <w:t>итання порядку денного, голосування щодо прийняття кожного з проектів рішень щодо цього питання порядку денного здійснюється окремо, у порядку черговості їх подання. Голосування щодо кожного наступного проекту рішення щодо одного питання порядку денного зд</w:t>
      </w:r>
      <w:r>
        <w:rPr>
          <w:lang w:val="uk-UA"/>
        </w:rPr>
        <w:t>ійснюється після підрахунку та оголошення результатів голосування  щодо попереднього проекту рішення.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 xml:space="preserve">4) Річні </w:t>
      </w:r>
      <w:r>
        <w:t xml:space="preserve">Загальні збори </w:t>
      </w:r>
      <w:r>
        <w:rPr>
          <w:lang w:val="uk-UA"/>
        </w:rPr>
        <w:t>акціонерів</w:t>
      </w:r>
      <w:r>
        <w:t xml:space="preserve"> не </w:t>
      </w:r>
      <w:r>
        <w:rPr>
          <w:lang w:val="uk-UA"/>
        </w:rPr>
        <w:t>можуть</w:t>
      </w:r>
      <w:r>
        <w:t xml:space="preserve"> приймати рішення з питан</w:t>
      </w:r>
      <w:r>
        <w:rPr>
          <w:lang w:val="uk-UA"/>
        </w:rPr>
        <w:t>ня</w:t>
      </w:r>
      <w:r>
        <w:t>, не включен</w:t>
      </w:r>
      <w:r>
        <w:rPr>
          <w:lang w:val="uk-UA"/>
        </w:rPr>
        <w:t>ого</w:t>
      </w:r>
      <w:r>
        <w:t xml:space="preserve"> до порядку денного.</w:t>
      </w:r>
    </w:p>
    <w:p w:rsidR="00000000" w:rsidRDefault="005923AB">
      <w:pPr>
        <w:jc w:val="both"/>
        <w:rPr>
          <w:lang w:val="uk-UA"/>
        </w:rPr>
      </w:pPr>
      <w:r>
        <w:rPr>
          <w:lang w:val="uk-UA"/>
        </w:rPr>
        <w:t>5) </w:t>
      </w:r>
      <w:r>
        <w:t>Усі інші процедури та питання, які виникають</w:t>
      </w:r>
      <w:r>
        <w:t xml:space="preserve"> під час проведення Загальних зборів Товариства, вирішуються відповідно до норм Статуту Товариства та чинного законодавства України.</w:t>
      </w:r>
    </w:p>
    <w:p w:rsidR="00000000" w:rsidRDefault="005923AB">
      <w:pPr>
        <w:jc w:val="both"/>
        <w:rPr>
          <w:b/>
          <w:lang w:val="uk-UA"/>
        </w:rPr>
      </w:pPr>
    </w:p>
    <w:p w:rsidR="00000000" w:rsidRDefault="005923AB">
      <w:pPr>
        <w:jc w:val="both"/>
        <w:rPr>
          <w:b/>
          <w:lang w:val="uk-UA"/>
        </w:rPr>
      </w:pPr>
      <w:r>
        <w:rPr>
          <w:b/>
        </w:rPr>
        <w:t>4.</w:t>
      </w:r>
      <w:r>
        <w:rPr>
          <w:b/>
          <w:lang w:val="uk-UA"/>
        </w:rPr>
        <w:t> </w:t>
      </w:r>
      <w:r>
        <w:rPr>
          <w:b/>
        </w:rPr>
        <w:t>Звіт Генерального директора про результати фінансово-господарської діяльності Товариства за 2016 рік</w:t>
      </w:r>
      <w:r>
        <w:rPr>
          <w:b/>
          <w:lang w:val="uk-UA"/>
        </w:rPr>
        <w:t xml:space="preserve"> та п</w:t>
      </w:r>
      <w:r>
        <w:rPr>
          <w:b/>
          <w:lang w:val="en-US"/>
        </w:rPr>
        <w:t>рийняття рішен</w:t>
      </w:r>
      <w:r>
        <w:rPr>
          <w:b/>
          <w:lang w:val="en-US"/>
        </w:rPr>
        <w:t xml:space="preserve">ня за наслідками  розгляду </w:t>
      </w:r>
      <w:r>
        <w:rPr>
          <w:b/>
        </w:rPr>
        <w:t>з</w:t>
      </w:r>
      <w:r>
        <w:rPr>
          <w:b/>
          <w:lang w:val="en-US"/>
        </w:rPr>
        <w:t>віту</w:t>
      </w:r>
      <w:r>
        <w:rPr>
          <w:b/>
        </w:rPr>
        <w:t xml:space="preserve"> Генерального директора.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1:</w:t>
      </w: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rPr>
          <w:lang w:val="uk-UA"/>
        </w:rPr>
      </w:pPr>
      <w:r>
        <w:rPr>
          <w:rFonts w:ascii="Times New Roman CYR" w:hAnsi="Times New Roman CYR" w:cs="Times New Roman CYR"/>
        </w:rPr>
        <w:t xml:space="preserve">4. Затвердити звіт Генерального директора </w:t>
      </w:r>
      <w:r>
        <w:t>про результати фінансово-господарської діяльності Товариства за 2016 рік та затвердити напрямки діяльності та плани Товариства на 2017 рік</w:t>
      </w:r>
      <w:r>
        <w:t xml:space="preserve">. </w:t>
      </w:r>
    </w:p>
    <w:p w:rsidR="00000000" w:rsidRDefault="005923AB">
      <w:pPr>
        <w:rPr>
          <w:i/>
          <w:lang w:val="uk-UA"/>
        </w:rPr>
      </w:pPr>
    </w:p>
    <w:p w:rsidR="00000000" w:rsidRDefault="005923AB">
      <w:pPr>
        <w:rPr>
          <w:i/>
          <w:lang w:val="uk-UA"/>
        </w:rPr>
      </w:pP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2:</w:t>
      </w: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spacing w:after="0"/>
      </w:pPr>
      <w:r>
        <w:rPr>
          <w:rFonts w:ascii="Times New Roman CYR" w:hAnsi="Times New Roman CYR" w:cs="Times New Roman CYR"/>
        </w:rPr>
        <w:t xml:space="preserve">4. Затвердити звіт Генерального директора </w:t>
      </w:r>
      <w:r>
        <w:t xml:space="preserve">про результати фінансово-господарської діяльності </w:t>
      </w:r>
      <w:r>
        <w:lastRenderedPageBreak/>
        <w:t xml:space="preserve">Товариства за 2016 рік.  </w:t>
      </w: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spacing w:after="0"/>
        <w:rPr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</w:rPr>
      </w:pPr>
      <w:r>
        <w:rPr>
          <w:b/>
        </w:rPr>
        <w:t>5.</w:t>
      </w:r>
      <w:r>
        <w:rPr>
          <w:b/>
          <w:lang w:val="uk-UA"/>
        </w:rPr>
        <w:t> </w:t>
      </w:r>
      <w:r>
        <w:rPr>
          <w:b/>
        </w:rPr>
        <w:t>Звіт Наглядової ради Товариства за 201</w:t>
      </w:r>
      <w:r>
        <w:rPr>
          <w:b/>
          <w:lang w:val="uk-UA"/>
        </w:rPr>
        <w:t>6</w:t>
      </w:r>
      <w:r>
        <w:rPr>
          <w:b/>
        </w:rPr>
        <w:t xml:space="preserve"> рік</w:t>
      </w:r>
      <w:r>
        <w:rPr>
          <w:b/>
          <w:lang w:val="uk-UA"/>
        </w:rPr>
        <w:t xml:space="preserve"> та п</w:t>
      </w:r>
      <w:r>
        <w:rPr>
          <w:b/>
        </w:rPr>
        <w:t>рийняття рішення за наслідками  розгляду звіту Наглядової ради.</w:t>
      </w:r>
    </w:p>
    <w:p w:rsidR="00000000" w:rsidRDefault="005923AB">
      <w:pPr>
        <w:tabs>
          <w:tab w:val="num" w:pos="426"/>
        </w:tabs>
        <w:jc w:val="both"/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spacing w:after="0"/>
        <w:rPr>
          <w:i/>
          <w:color w:val="7030A0"/>
          <w:lang w:val="uk-UA"/>
        </w:rPr>
      </w:pPr>
      <w:r>
        <w:t>5. Затвердити звіт Наглядової ради Товариства за 2016 рік.</w:t>
      </w:r>
      <w:r>
        <w:rPr>
          <w:i/>
          <w:color w:val="7030A0"/>
        </w:rPr>
        <w:t xml:space="preserve">                 </w:t>
      </w: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5923AB">
      <w:pPr>
        <w:pStyle w:val="af"/>
        <w:widowControl w:val="0"/>
        <w:tabs>
          <w:tab w:val="left" w:pos="6379"/>
        </w:tabs>
        <w:autoSpaceDN w:val="0"/>
        <w:adjustRightInd w:val="0"/>
        <w:spacing w:after="0"/>
        <w:rPr>
          <w:i/>
          <w:color w:val="7030A0"/>
          <w:lang w:val="uk-UA"/>
        </w:rPr>
      </w:pPr>
      <w:r>
        <w:rPr>
          <w:b/>
        </w:rPr>
        <w:t xml:space="preserve">6. Звіт Ревізора Товариства за 2016 рік та прийняття рішення за наслідками розгляду звіту Ревізора. Затвердження висновків Ревізора Товариства.         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jc w:val="both"/>
        <w:rPr>
          <w:lang w:val="uk-UA"/>
        </w:rPr>
      </w:pPr>
      <w:r>
        <w:t>6. Затвердити Звіт Ревізора про результати перевірки фінансово-господарської діяльності Товариства за 2016 рік та висновки Ревізора Товариства стосовно фінансової звітності Товариства за 2016 рік.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7.</w:t>
      </w:r>
      <w:r>
        <w:rPr>
          <w:b/>
          <w:lang w:val="uk-UA"/>
        </w:rPr>
        <w:t> </w:t>
      </w:r>
      <w:r>
        <w:rPr>
          <w:b/>
        </w:rPr>
        <w:t>Затвердження річного звіту  ПрАТ «КЕРАМ</w:t>
      </w:r>
      <w:r>
        <w:rPr>
          <w:b/>
        </w:rPr>
        <w:t>ПРОМ» за 201</w:t>
      </w:r>
      <w:r>
        <w:rPr>
          <w:b/>
          <w:lang w:val="uk-UA"/>
        </w:rPr>
        <w:t>6</w:t>
      </w:r>
      <w:r>
        <w:rPr>
          <w:b/>
        </w:rPr>
        <w:t xml:space="preserve"> рік.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t>7. Затвердити річний звіт ПрАТ «КЕРАМПРОМ» за 2016 рік.</w:t>
      </w:r>
    </w:p>
    <w:p w:rsidR="00000000" w:rsidRDefault="005923AB">
      <w:pPr>
        <w:jc w:val="both"/>
        <w:rPr>
          <w:b/>
          <w:lang w:val="uk-UA"/>
        </w:rPr>
      </w:pPr>
    </w:p>
    <w:p w:rsidR="00000000" w:rsidRDefault="005923AB">
      <w:pPr>
        <w:jc w:val="both"/>
        <w:rPr>
          <w:b/>
        </w:rPr>
      </w:pPr>
      <w:r>
        <w:rPr>
          <w:b/>
        </w:rPr>
        <w:t>8.</w:t>
      </w:r>
      <w:r>
        <w:rPr>
          <w:b/>
          <w:lang w:val="uk-UA"/>
        </w:rPr>
        <w:t> Про</w:t>
      </w:r>
      <w:r>
        <w:rPr>
          <w:b/>
        </w:rPr>
        <w:t xml:space="preserve"> розподіл прибутку ПрАТ «КЕРАМПРОМ» за 201</w:t>
      </w:r>
      <w:r>
        <w:rPr>
          <w:b/>
          <w:lang w:val="uk-UA"/>
        </w:rPr>
        <w:t>6</w:t>
      </w:r>
      <w:r>
        <w:rPr>
          <w:b/>
        </w:rPr>
        <w:t xml:space="preserve"> рік.</w:t>
      </w:r>
    </w:p>
    <w:p w:rsidR="00000000" w:rsidRDefault="005923AB">
      <w:pPr>
        <w:jc w:val="both"/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</w:rPr>
      </w:pPr>
      <w:r>
        <w:t xml:space="preserve">8. Розподілити чистий прибуток, отриманий Товариством  </w:t>
      </w:r>
      <w:r>
        <w:t>за результатами діяльності у 2016 році в сумі 50 272 412,38 грн. (п’ятдесят мільйонів двісті сімдесят дві тисячі чотириста дванадцять гривень 38 копійок),</w:t>
      </w:r>
      <w:r>
        <w:rPr>
          <w:rFonts w:ascii="Times New Roman CYR" w:hAnsi="Times New Roman CYR" w:cs="Times New Roman CYR"/>
        </w:rPr>
        <w:t xml:space="preserve"> з урахуванням  рішення Наглядової ради Товариства, яка затвердила програму розвитку Товариства на 201</w:t>
      </w:r>
      <w:r>
        <w:rPr>
          <w:rFonts w:ascii="Times New Roman CYR" w:hAnsi="Times New Roman CYR" w:cs="Times New Roman CYR"/>
        </w:rPr>
        <w:t>7 рік в сумі 20 000 000,00 грн. (протокол НР № 5 від 03.03.2017 р.), наступним чином:</w:t>
      </w:r>
    </w:p>
    <w:p w:rsidR="00000000" w:rsidRDefault="005923AB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1 209 213,53 грн.   -   до резервного капіталу;</w:t>
      </w:r>
    </w:p>
    <w:p w:rsidR="00000000" w:rsidRDefault="005923AB">
      <w:pPr>
        <w:rPr>
          <w:lang w:val="uk-UA"/>
        </w:rPr>
      </w:pPr>
      <w:r>
        <w:t>20 000 000,00</w:t>
      </w:r>
      <w:r>
        <w:rPr>
          <w:lang w:val="uk-UA"/>
        </w:rPr>
        <w:t xml:space="preserve"> </w:t>
      </w:r>
      <w:r>
        <w:t xml:space="preserve"> грн.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</w:t>
      </w:r>
      <w:r>
        <w:t>-   до фонду розвитку Товариства</w:t>
      </w:r>
      <w:r>
        <w:rPr>
          <w:lang w:val="uk-UA"/>
        </w:rPr>
        <w:t>;</w:t>
      </w:r>
    </w:p>
    <w:p w:rsidR="00000000" w:rsidRDefault="005923AB">
      <w:pPr>
        <w:rPr>
          <w:lang w:val="uk-UA"/>
        </w:rPr>
      </w:pPr>
      <w:r>
        <w:t xml:space="preserve">29 063 198,85 </w:t>
      </w:r>
      <w:r>
        <w:rPr>
          <w:lang w:val="uk-UA"/>
        </w:rPr>
        <w:t xml:space="preserve"> </w:t>
      </w:r>
      <w:r>
        <w:t>грн.</w:t>
      </w:r>
      <w:r>
        <w:rPr>
          <w:lang w:val="uk-UA"/>
        </w:rPr>
        <w:t xml:space="preserve">   </w:t>
      </w:r>
      <w:r>
        <w:t>-   на виплату дивідендів</w:t>
      </w:r>
      <w:r>
        <w:rPr>
          <w:lang w:val="uk-UA"/>
        </w:rPr>
        <w:t xml:space="preserve"> акціонерам Товар</w:t>
      </w:r>
      <w:r>
        <w:rPr>
          <w:lang w:val="uk-UA"/>
        </w:rPr>
        <w:t>иства.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9.</w:t>
      </w:r>
      <w:r>
        <w:rPr>
          <w:b/>
          <w:lang w:val="uk-UA"/>
        </w:rPr>
        <w:t> З</w:t>
      </w:r>
      <w:r>
        <w:rPr>
          <w:b/>
        </w:rPr>
        <w:t xml:space="preserve">атвердження розміру </w:t>
      </w:r>
      <w:r>
        <w:rPr>
          <w:b/>
          <w:lang w:val="uk-UA"/>
        </w:rPr>
        <w:t xml:space="preserve">річних </w:t>
      </w:r>
      <w:r>
        <w:rPr>
          <w:b/>
        </w:rPr>
        <w:t>дивідендів</w:t>
      </w:r>
      <w:r>
        <w:rPr>
          <w:b/>
          <w:lang w:val="uk-UA"/>
        </w:rPr>
        <w:t xml:space="preserve"> за підсумками роботи в 2016 році, визначення способу виплати дивідендів.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1:</w:t>
      </w:r>
    </w:p>
    <w:p w:rsidR="00000000" w:rsidRDefault="005923AB">
      <w:pPr>
        <w:jc w:val="both"/>
        <w:rPr>
          <w:i/>
          <w:lang w:val="uk-UA"/>
        </w:rPr>
      </w:pPr>
      <w:r>
        <w:t>9.1.</w:t>
      </w:r>
      <w:r>
        <w:rPr>
          <w:lang w:val="uk-UA"/>
        </w:rPr>
        <w:t> </w:t>
      </w:r>
      <w:r>
        <w:t xml:space="preserve">Затвердити загальний розмір річних дивідендів за підсумками роботи Товариства </w:t>
      </w:r>
      <w:r>
        <w:rPr>
          <w:lang w:val="uk-UA"/>
        </w:rPr>
        <w:t>за</w:t>
      </w:r>
      <w:r>
        <w:t xml:space="preserve"> 201</w:t>
      </w:r>
      <w:r>
        <w:rPr>
          <w:lang w:val="uk-UA"/>
        </w:rPr>
        <w:t xml:space="preserve">6 рік у розмірі </w:t>
      </w:r>
      <w:r>
        <w:t>29 063 198</w:t>
      </w:r>
      <w:r>
        <w:t>,85 </w:t>
      </w:r>
      <w:r>
        <w:rPr>
          <w:rFonts w:ascii="Times New Roman CYR" w:hAnsi="Times New Roman CYR" w:cs="Times New Roman CYR"/>
        </w:rPr>
        <w:t>грн. (двадцять дев</w:t>
      </w:r>
      <w:r>
        <w:rPr>
          <w:rFonts w:ascii="Times New Roman CYR" w:hAnsi="Times New Roman CYR" w:cs="Times New Roman CYR"/>
          <w:lang w:val="en-US"/>
        </w:rPr>
        <w:t>’</w:t>
      </w:r>
      <w:r>
        <w:rPr>
          <w:rFonts w:ascii="Times New Roman CYR" w:hAnsi="Times New Roman CYR" w:cs="Times New Roman CYR"/>
          <w:lang w:val="uk-UA"/>
        </w:rPr>
        <w:t>ять мільйонів шістдесят три тисячі сто дев’яносто вісім</w:t>
      </w:r>
      <w:r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</w:rPr>
        <w:t xml:space="preserve">гривень </w:t>
      </w:r>
      <w:r>
        <w:rPr>
          <w:rFonts w:ascii="Times New Roman CYR" w:hAnsi="Times New Roman CYR" w:cs="Times New Roman CYR"/>
          <w:lang w:val="uk-UA"/>
        </w:rPr>
        <w:t>85</w:t>
      </w:r>
      <w:r>
        <w:rPr>
          <w:rFonts w:ascii="Times New Roman CYR" w:hAnsi="Times New Roman CYR" w:cs="Times New Roman CYR"/>
        </w:rPr>
        <w:t xml:space="preserve"> копійок)</w:t>
      </w:r>
      <w:r>
        <w:rPr>
          <w:rFonts w:ascii="Times New Roman CYR" w:hAnsi="Times New Roman CYR" w:cs="Times New Roman CYR"/>
          <w:lang w:val="uk-UA"/>
        </w:rPr>
        <w:t>, що в розрахунку на одну акцію складає 92,55 грн. (дев’яносто дві гривні 85 копійок).</w:t>
      </w:r>
    </w:p>
    <w:p w:rsidR="00000000" w:rsidRDefault="005923AB">
      <w:pPr>
        <w:pStyle w:val="a5"/>
        <w:shd w:val="clear" w:color="auto" w:fill="FFFFFF"/>
        <w:spacing w:before="0" w:beforeAutospacing="0" w:after="136" w:afterAutospacing="0"/>
        <w:jc w:val="both"/>
      </w:pPr>
      <w:r>
        <w:t>9.2. Встановити, що виплата дивідендів здійснюється Товариством  безпос</w:t>
      </w:r>
      <w:r>
        <w:t xml:space="preserve">ередньо акціонерам   в порядку, встановленому Національною комісією з цінних паперів та фондового ринку.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2:</w:t>
      </w:r>
    </w:p>
    <w:p w:rsidR="00000000" w:rsidRDefault="005923AB">
      <w:pPr>
        <w:jc w:val="both"/>
        <w:rPr>
          <w:i/>
          <w:lang w:val="uk-UA"/>
        </w:rPr>
      </w:pPr>
      <w:r>
        <w:t>9.1.</w:t>
      </w:r>
      <w:r>
        <w:rPr>
          <w:lang w:val="uk-UA"/>
        </w:rPr>
        <w:t> </w:t>
      </w:r>
      <w:r>
        <w:t xml:space="preserve">Затвердити загальний розмір річних дивідендів за підсумками роботи Товариства </w:t>
      </w:r>
      <w:r>
        <w:rPr>
          <w:lang w:val="uk-UA"/>
        </w:rPr>
        <w:t>за</w:t>
      </w:r>
      <w:r>
        <w:t xml:space="preserve"> 201</w:t>
      </w:r>
      <w:r>
        <w:rPr>
          <w:lang w:val="uk-UA"/>
        </w:rPr>
        <w:t xml:space="preserve">6 рік у розмірі </w:t>
      </w:r>
      <w:r>
        <w:t>29 063 198,85 </w:t>
      </w:r>
      <w:r>
        <w:rPr>
          <w:rFonts w:ascii="Times New Roman CYR" w:hAnsi="Times New Roman CYR" w:cs="Times New Roman CYR"/>
        </w:rPr>
        <w:t>грн. (двадцять дев</w:t>
      </w:r>
      <w:r>
        <w:rPr>
          <w:rFonts w:ascii="Times New Roman CYR" w:hAnsi="Times New Roman CYR" w:cs="Times New Roman CYR"/>
          <w:lang w:val="en-US"/>
        </w:rPr>
        <w:t>’</w:t>
      </w:r>
      <w:r>
        <w:rPr>
          <w:rFonts w:ascii="Times New Roman CYR" w:hAnsi="Times New Roman CYR" w:cs="Times New Roman CYR"/>
          <w:lang w:val="uk-UA"/>
        </w:rPr>
        <w:t>ять мільйонів шістдесят три тисячі сто дев’яносто вісім</w:t>
      </w:r>
      <w:r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</w:rPr>
        <w:t xml:space="preserve">гривень </w:t>
      </w:r>
      <w:r>
        <w:rPr>
          <w:rFonts w:ascii="Times New Roman CYR" w:hAnsi="Times New Roman CYR" w:cs="Times New Roman CYR"/>
          <w:lang w:val="uk-UA"/>
        </w:rPr>
        <w:t>85</w:t>
      </w:r>
      <w:r>
        <w:rPr>
          <w:rFonts w:ascii="Times New Roman CYR" w:hAnsi="Times New Roman CYR" w:cs="Times New Roman CYR"/>
        </w:rPr>
        <w:t xml:space="preserve"> копійок)</w:t>
      </w:r>
      <w:r>
        <w:rPr>
          <w:rFonts w:ascii="Times New Roman CYR" w:hAnsi="Times New Roman CYR" w:cs="Times New Roman CYR"/>
          <w:lang w:val="uk-UA"/>
        </w:rPr>
        <w:t>, що в розрахунку на одну акцію складає 92,55 грн. (дев’яносто дві гривні 85 копійок).</w:t>
      </w:r>
    </w:p>
    <w:p w:rsidR="00000000" w:rsidRDefault="005923AB">
      <w:pPr>
        <w:pStyle w:val="a5"/>
        <w:shd w:val="clear" w:color="auto" w:fill="FFFFFF"/>
        <w:spacing w:before="0" w:beforeAutospacing="0" w:after="0" w:afterAutospacing="0"/>
        <w:jc w:val="both"/>
      </w:pPr>
      <w:r>
        <w:t>9.2. Встановити, що виплата дивідендів здійснюється Товариством через депоз</w:t>
      </w:r>
      <w:r>
        <w:t xml:space="preserve">итарну систему України в порядку, встановленому Національною комісією з цінних паперів та фондового ринку. 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1</w:t>
      </w:r>
      <w:r>
        <w:rPr>
          <w:b/>
          <w:lang w:val="uk-UA"/>
        </w:rPr>
        <w:t>0</w:t>
      </w:r>
      <w:r>
        <w:rPr>
          <w:b/>
        </w:rPr>
        <w:t>. </w:t>
      </w:r>
      <w:r>
        <w:rPr>
          <w:b/>
          <w:lang w:val="uk-UA"/>
        </w:rPr>
        <w:t>З</w:t>
      </w:r>
      <w:r>
        <w:rPr>
          <w:b/>
        </w:rPr>
        <w:t xml:space="preserve">атвердження </w:t>
      </w:r>
      <w:r>
        <w:rPr>
          <w:b/>
          <w:lang w:val="uk-UA"/>
        </w:rPr>
        <w:t>К</w:t>
      </w:r>
      <w:r>
        <w:rPr>
          <w:b/>
        </w:rPr>
        <w:t>ошторису витрат на утримання Наглядової ради Товариства</w:t>
      </w:r>
      <w:r>
        <w:rPr>
          <w:color w:val="000000"/>
        </w:rPr>
        <w:t xml:space="preserve"> </w:t>
      </w:r>
      <w:r>
        <w:rPr>
          <w:b/>
          <w:lang w:val="uk-UA"/>
        </w:rPr>
        <w:t>ПрАТ «КЕРАМПРОМ»  на один рік з дати прийняття рішення Загальними збора</w:t>
      </w:r>
      <w:r>
        <w:rPr>
          <w:b/>
          <w:lang w:val="uk-UA"/>
        </w:rPr>
        <w:t>ми Товариства.</w:t>
      </w:r>
      <w:r>
        <w:rPr>
          <w:i/>
          <w:color w:val="7030A0"/>
          <w:lang w:val="uk-UA"/>
        </w:rPr>
        <w:t xml:space="preserve">                                  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1:</w:t>
      </w:r>
    </w:p>
    <w:p w:rsidR="00000000" w:rsidRDefault="005923AB">
      <w:pPr>
        <w:tabs>
          <w:tab w:val="num" w:pos="426"/>
        </w:tabs>
        <w:spacing w:after="120"/>
        <w:jc w:val="both"/>
        <w:rPr>
          <w:i/>
          <w:color w:val="7030A0"/>
          <w:lang w:val="uk-UA"/>
        </w:rPr>
      </w:pPr>
      <w:r>
        <w:rPr>
          <w:color w:val="000000"/>
          <w:lang w:val="uk-UA"/>
        </w:rPr>
        <w:lastRenderedPageBreak/>
        <w:t>10</w:t>
      </w:r>
      <w:r>
        <w:rPr>
          <w:color w:val="000000"/>
        </w:rPr>
        <w:t>. Затвердити Кошторис витрат на утримання Наглядової ради ПрАТ «КЕРАМПРОМ»</w:t>
      </w:r>
      <w:r>
        <w:rPr>
          <w:lang w:val="uk-UA"/>
        </w:rPr>
        <w:t xml:space="preserve"> </w:t>
      </w:r>
      <w:r>
        <w:t>на один рік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</w:t>
      </w:r>
      <w:r>
        <w:rPr>
          <w:lang w:val="uk-UA"/>
        </w:rPr>
        <w:t xml:space="preserve">07.04.2017 р. до </w:t>
      </w:r>
      <w:r>
        <w:t>дати</w:t>
      </w:r>
      <w:r>
        <w:rPr>
          <w:lang w:val="uk-UA"/>
        </w:rPr>
        <w:t xml:space="preserve"> проведення наступних річних </w:t>
      </w:r>
      <w:r>
        <w:t>Загальни</w:t>
      </w:r>
      <w:r>
        <w:rPr>
          <w:lang w:val="uk-UA"/>
        </w:rPr>
        <w:t>х</w:t>
      </w:r>
      <w:r>
        <w:t xml:space="preserve"> збор</w:t>
      </w:r>
      <w:r>
        <w:rPr>
          <w:lang w:val="uk-UA"/>
        </w:rPr>
        <w:t>ів</w:t>
      </w:r>
      <w:r>
        <w:t xml:space="preserve"> Товариства</w:t>
      </w:r>
      <w:r>
        <w:rPr>
          <w:lang w:val="uk-UA"/>
        </w:rPr>
        <w:t>.</w:t>
      </w:r>
      <w:r>
        <w:rPr>
          <w:i/>
          <w:color w:val="7030A0"/>
          <w:lang w:val="uk-UA"/>
        </w:rPr>
        <w:t xml:space="preserve">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 2:</w:t>
      </w:r>
    </w:p>
    <w:p w:rsidR="00000000" w:rsidRDefault="005923AB">
      <w:pPr>
        <w:tabs>
          <w:tab w:val="num" w:pos="426"/>
        </w:tabs>
        <w:jc w:val="both"/>
      </w:pPr>
      <w:r>
        <w:rPr>
          <w:color w:val="000000"/>
        </w:rPr>
        <w:t>10.1. Затвердити Кошторис витрат на утримання Наглядової ради ПрАТ «КЕРАМПРОМ»</w:t>
      </w:r>
      <w:r>
        <w:t xml:space="preserve"> на один рік</w:t>
      </w:r>
      <w:r>
        <w:rPr>
          <w:color w:val="000000"/>
        </w:rPr>
        <w:t xml:space="preserve"> з </w:t>
      </w:r>
      <w:r>
        <w:t>07.04.2017 р. до дати проведення наступних річних Загальних зборів Товариства.</w:t>
      </w:r>
      <w:r>
        <w:rPr>
          <w:i/>
          <w:color w:val="7030A0"/>
          <w:szCs w:val="22"/>
        </w:rPr>
        <w:t xml:space="preserve">                                          </w:t>
      </w:r>
    </w:p>
    <w:p w:rsidR="00000000" w:rsidRDefault="005923AB">
      <w:pPr>
        <w:ind w:right="-196"/>
        <w:jc w:val="both"/>
        <w:rPr>
          <w:color w:val="000000"/>
        </w:rPr>
      </w:pPr>
      <w:r>
        <w:rPr>
          <w:color w:val="000000"/>
        </w:rPr>
        <w:t>10.2. Доручити Голові Загальних зборів Бе</w:t>
      </w:r>
      <w:r>
        <w:rPr>
          <w:color w:val="000000"/>
        </w:rPr>
        <w:t>взенко В.Ф. підписати Кошторис витрат від імені Загальних зборів Товариства.</w:t>
      </w:r>
      <w:r>
        <w:rPr>
          <w:i/>
          <w:color w:val="7030A0"/>
          <w:lang w:val="uk-UA"/>
        </w:rPr>
        <w:t xml:space="preserve">                                    </w:t>
      </w:r>
    </w:p>
    <w:p w:rsidR="00000000" w:rsidRDefault="005923AB">
      <w:pPr>
        <w:jc w:val="both"/>
        <w:outlineLvl w:val="0"/>
        <w:rPr>
          <w:b/>
          <w:lang w:val="uk-UA"/>
        </w:rPr>
      </w:pPr>
    </w:p>
    <w:p w:rsidR="00000000" w:rsidRDefault="005923AB">
      <w:pPr>
        <w:jc w:val="both"/>
        <w:outlineLvl w:val="0"/>
        <w:rPr>
          <w:b/>
          <w:lang w:val="uk-UA"/>
        </w:rPr>
      </w:pPr>
      <w:r>
        <w:rPr>
          <w:b/>
          <w:lang w:val="uk-UA"/>
        </w:rPr>
        <w:t>11. П</w:t>
      </w:r>
      <w:r>
        <w:rPr>
          <w:b/>
        </w:rPr>
        <w:t xml:space="preserve">ро зміну місцезнаходження Товариства в зв’язку з перейменуванням назви </w:t>
      </w:r>
      <w:r>
        <w:rPr>
          <w:b/>
          <w:lang w:val="uk-UA"/>
        </w:rPr>
        <w:t>населеного пункту.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jc w:val="both"/>
        <w:rPr>
          <w:b/>
          <w:i/>
          <w:lang w:val="uk-UA"/>
        </w:rPr>
      </w:pPr>
      <w:r>
        <w:rPr>
          <w:color w:val="000000"/>
          <w:lang w:val="uk-UA"/>
        </w:rPr>
        <w:t>11.</w:t>
      </w:r>
      <w:r>
        <w:rPr>
          <w:b/>
        </w:rPr>
        <w:t> </w:t>
      </w:r>
      <w:r>
        <w:t>У зв’язку з перейменуванням</w:t>
      </w:r>
      <w:r>
        <w:t xml:space="preserve"> села Артемівка Костянтинівського району Донецької області на село Софіївка, на </w:t>
      </w:r>
      <w:r>
        <w:rPr>
          <w:color w:val="000000"/>
        </w:rPr>
        <w:t xml:space="preserve">підставі </w:t>
      </w:r>
      <w:hyperlink r:id="rId5" w:tgtFrame="_blank" w:history="1">
        <w:r>
          <w:rPr>
            <w:rStyle w:val="a3"/>
            <w:color w:val="000000"/>
            <w:u w:val="none"/>
          </w:rPr>
          <w:t>Закону від 09.04.2015р. №317-VIII</w:t>
        </w:r>
      </w:hyperlink>
      <w:r>
        <w:rPr>
          <w:color w:val="000000"/>
        </w:rPr>
        <w:t xml:space="preserve"> та </w:t>
      </w:r>
      <w:r>
        <w:t>враховуючи Постанову Верховної Ради України  «Про перейменування о</w:t>
      </w:r>
      <w:r>
        <w:t>кремих населених пунктів та районів» від 04.02.2016 № 984-</w:t>
      </w:r>
      <w:r>
        <w:rPr>
          <w:lang w:val="uk-UA"/>
        </w:rPr>
        <w:t>VIII</w:t>
      </w:r>
      <w:r>
        <w:t xml:space="preserve"> змін</w:t>
      </w:r>
      <w:r>
        <w:rPr>
          <w:lang w:val="uk-UA"/>
        </w:rPr>
        <w:t>ити</w:t>
      </w:r>
      <w:r>
        <w:t xml:space="preserve"> місцезнаходження </w:t>
      </w:r>
      <w:r>
        <w:rPr>
          <w:lang w:val="uk-UA"/>
        </w:rPr>
        <w:t xml:space="preserve">ПРИВАТНОГО АКЦІОНЕРНОГО ТОВАРИСТВА «КЕРАМПРОМ» </w:t>
      </w:r>
      <w:r>
        <w:t>з</w:t>
      </w:r>
      <w:r>
        <w:rPr>
          <w:lang w:val="uk-UA"/>
        </w:rPr>
        <w:t xml:space="preserve"> адреси: </w:t>
      </w:r>
      <w:r>
        <w:t xml:space="preserve"> 85171, Україна, Донецька область, Костянтинівський район, с</w:t>
      </w:r>
      <w:r>
        <w:rPr>
          <w:lang w:val="uk-UA"/>
        </w:rPr>
        <w:t>ело</w:t>
      </w:r>
      <w:r>
        <w:t> </w:t>
      </w:r>
      <w:r>
        <w:rPr>
          <w:lang w:val="uk-UA"/>
        </w:rPr>
        <w:t>Артемівка</w:t>
      </w:r>
      <w:r>
        <w:t>, вул</w:t>
      </w:r>
      <w:r>
        <w:rPr>
          <w:lang w:val="uk-UA"/>
        </w:rPr>
        <w:t xml:space="preserve">иця </w:t>
      </w:r>
      <w:r>
        <w:t>Дружби, будинок 2 на</w:t>
      </w:r>
      <w:r>
        <w:rPr>
          <w:lang w:val="uk-UA"/>
        </w:rPr>
        <w:t xml:space="preserve"> адресу:</w:t>
      </w:r>
      <w:r>
        <w:t xml:space="preserve"> </w:t>
      </w:r>
      <w:r>
        <w:t>85171, Україна, Донецька область, Костянтинівський район, с</w:t>
      </w:r>
      <w:r>
        <w:rPr>
          <w:lang w:val="uk-UA"/>
        </w:rPr>
        <w:t>ело</w:t>
      </w:r>
      <w:r>
        <w:t> Софіївка, вул</w:t>
      </w:r>
      <w:r>
        <w:rPr>
          <w:lang w:val="uk-UA"/>
        </w:rPr>
        <w:t>иця</w:t>
      </w:r>
      <w:r>
        <w:t> Дружби, буд</w:t>
      </w:r>
      <w:r>
        <w:rPr>
          <w:lang w:val="uk-UA"/>
        </w:rPr>
        <w:t xml:space="preserve">инок </w:t>
      </w:r>
      <w:r>
        <w:t>2</w:t>
      </w:r>
      <w:r>
        <w:rPr>
          <w:lang w:val="uk-UA"/>
        </w:rPr>
        <w:t>.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1</w:t>
      </w:r>
      <w:r>
        <w:rPr>
          <w:b/>
          <w:lang w:val="uk-UA"/>
        </w:rPr>
        <w:t>2</w:t>
      </w:r>
      <w:r>
        <w:rPr>
          <w:b/>
        </w:rPr>
        <w:t>. </w:t>
      </w:r>
      <w:r>
        <w:rPr>
          <w:b/>
          <w:lang w:val="uk-UA"/>
        </w:rPr>
        <w:t xml:space="preserve">Внесення змін до Статуту Товариства шляхом викладення його в новій редакції, </w:t>
      </w:r>
      <w:r>
        <w:rPr>
          <w:b/>
        </w:rPr>
        <w:t xml:space="preserve">затвердження </w:t>
      </w:r>
      <w:r>
        <w:rPr>
          <w:b/>
          <w:lang w:val="uk-UA"/>
        </w:rPr>
        <w:t xml:space="preserve">нової </w:t>
      </w:r>
      <w:r>
        <w:rPr>
          <w:b/>
        </w:rPr>
        <w:t>редакції</w:t>
      </w:r>
      <w:r>
        <w:rPr>
          <w:b/>
          <w:lang w:val="uk-UA"/>
        </w:rPr>
        <w:t xml:space="preserve"> Статуту </w:t>
      </w:r>
      <w:r>
        <w:rPr>
          <w:b/>
        </w:rPr>
        <w:t>ПРИВАТН</w:t>
      </w:r>
      <w:r>
        <w:rPr>
          <w:b/>
          <w:lang w:val="uk-UA"/>
        </w:rPr>
        <w:t>ОГО</w:t>
      </w:r>
      <w:r>
        <w:rPr>
          <w:b/>
        </w:rPr>
        <w:t xml:space="preserve"> АКЦІОНЕРН</w:t>
      </w:r>
      <w:r>
        <w:rPr>
          <w:b/>
          <w:lang w:val="uk-UA"/>
        </w:rPr>
        <w:t xml:space="preserve">ОГО </w:t>
      </w:r>
      <w:r>
        <w:rPr>
          <w:b/>
        </w:rPr>
        <w:t>ТОВАРИСТВ</w:t>
      </w:r>
      <w:r>
        <w:rPr>
          <w:b/>
          <w:lang w:val="uk-UA"/>
        </w:rPr>
        <w:t xml:space="preserve">А </w:t>
      </w:r>
      <w:r>
        <w:rPr>
          <w:b/>
          <w:lang w:val="uk-UA"/>
        </w:rPr>
        <w:t>«КЕРАМПРОМ», надання повноважень на його підписання та проведення державної</w:t>
      </w:r>
      <w:r>
        <w:rPr>
          <w:b/>
        </w:rPr>
        <w:t xml:space="preserve"> реєстрації.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5923AB">
      <w:pPr>
        <w:jc w:val="both"/>
      </w:pPr>
      <w:r>
        <w:t>1</w:t>
      </w:r>
      <w:r>
        <w:rPr>
          <w:lang w:val="uk-UA"/>
        </w:rPr>
        <w:t>2</w:t>
      </w:r>
      <w:r>
        <w:t xml:space="preserve">.2. Затвердити нову редакцію Статуту ПРИВАТНОГО АКЦІОНЕРНОГО </w:t>
      </w:r>
      <w:r>
        <w:t xml:space="preserve">ТОВАРИСТВА «КЕРАМПРОМ». </w:t>
      </w:r>
    </w:p>
    <w:p w:rsidR="00000000" w:rsidRDefault="005923AB">
      <w:pPr>
        <w:jc w:val="both"/>
      </w:pPr>
      <w:r>
        <w:t>1</w:t>
      </w:r>
      <w:r>
        <w:rPr>
          <w:lang w:val="uk-UA"/>
        </w:rPr>
        <w:t>2</w:t>
      </w:r>
      <w:r>
        <w:t>.3. </w:t>
      </w:r>
      <w:r>
        <w:rPr>
          <w:lang w:val="uk-UA"/>
        </w:rPr>
        <w:t>Уповноважити</w:t>
      </w:r>
      <w:r>
        <w:t xml:space="preserve"> Генерально</w:t>
      </w:r>
      <w:r>
        <w:rPr>
          <w:lang w:val="uk-UA"/>
        </w:rPr>
        <w:t>го</w:t>
      </w:r>
      <w:r>
        <w:t xml:space="preserve"> директор</w:t>
      </w:r>
      <w:r>
        <w:rPr>
          <w:lang w:val="uk-UA"/>
        </w:rPr>
        <w:t>а Товариства Бевзенко Бориса Федоровича</w:t>
      </w:r>
      <w:r>
        <w:t xml:space="preserve"> підписати нову редакцію Статуту ПРИВАТНОГО АКЦІОНЕРНОГО ТОВАРИСТВА «КЕРАМПРОМ»</w:t>
      </w:r>
      <w:r>
        <w:rPr>
          <w:lang w:val="uk-UA"/>
        </w:rPr>
        <w:t xml:space="preserve"> з обов’язковим нотаріальним посвідченням підпису під Статутом</w:t>
      </w:r>
      <w:r>
        <w:t>.</w:t>
      </w:r>
    </w:p>
    <w:p w:rsidR="00000000" w:rsidRDefault="005923AB">
      <w:pPr>
        <w:jc w:val="both"/>
        <w:rPr>
          <w:lang w:val="uk-UA"/>
        </w:rPr>
      </w:pPr>
      <w:r>
        <w:t>1</w:t>
      </w:r>
      <w:r>
        <w:rPr>
          <w:lang w:val="uk-UA"/>
        </w:rPr>
        <w:t>2</w:t>
      </w:r>
      <w:r>
        <w:t>.4. </w:t>
      </w:r>
      <w:r>
        <w:rPr>
          <w:lang w:val="uk-UA"/>
        </w:rPr>
        <w:t>Дор</w:t>
      </w:r>
      <w:r>
        <w:rPr>
          <w:lang w:val="uk-UA"/>
        </w:rPr>
        <w:t xml:space="preserve">учити </w:t>
      </w:r>
      <w:r>
        <w:t>Генерально</w:t>
      </w:r>
      <w:r>
        <w:rPr>
          <w:lang w:val="uk-UA"/>
        </w:rPr>
        <w:t>му</w:t>
      </w:r>
      <w:r>
        <w:t xml:space="preserve"> директор</w:t>
      </w:r>
      <w:r>
        <w:rPr>
          <w:lang w:val="uk-UA"/>
        </w:rPr>
        <w:t>у Товариства (</w:t>
      </w:r>
      <w:r>
        <w:t>з правом передоручення</w:t>
      </w:r>
      <w:r>
        <w:rPr>
          <w:lang w:val="uk-UA"/>
        </w:rPr>
        <w:t>) забезпечити здійснення</w:t>
      </w:r>
      <w:r>
        <w:rPr>
          <w:rFonts w:ascii="Helvetica" w:hAnsi="Helvetica"/>
          <w:color w:val="444444"/>
          <w:shd w:val="clear" w:color="auto" w:fill="FFFFFF"/>
          <w:lang w:val="uk-UA"/>
        </w:rPr>
        <w:t xml:space="preserve"> </w:t>
      </w:r>
      <w:r>
        <w:rPr>
          <w:lang w:val="uk-UA"/>
        </w:rPr>
        <w:t>в установленому законодавством порядку</w:t>
      </w:r>
      <w:r>
        <w:rPr>
          <w:rFonts w:ascii="Helvetica" w:hAnsi="Helvetica"/>
          <w:color w:val="444444"/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державної реєстрації  нової редакції Статуту Товариства. 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  <w:r>
        <w:rPr>
          <w:b/>
          <w:lang w:val="uk-UA"/>
        </w:rPr>
        <w:t>13. Прийняття рішення про надання згоди на вчинення Товариством значни</w:t>
      </w:r>
      <w:r>
        <w:rPr>
          <w:b/>
          <w:lang w:val="uk-UA"/>
        </w:rPr>
        <w:t>х правочинів.</w:t>
      </w:r>
    </w:p>
    <w:p w:rsidR="00000000" w:rsidRDefault="005923AB">
      <w:pPr>
        <w:rPr>
          <w:i/>
        </w:rPr>
      </w:pPr>
      <w:r>
        <w:rPr>
          <w:i/>
        </w:rPr>
        <w:t>Проект рішення</w:t>
      </w:r>
      <w:r>
        <w:rPr>
          <w:i/>
          <w:lang w:val="uk-UA"/>
        </w:rPr>
        <w:t xml:space="preserve"> 1</w:t>
      </w:r>
      <w:r>
        <w:rPr>
          <w:i/>
        </w:rPr>
        <w:t>:</w:t>
      </w:r>
    </w:p>
    <w:p w:rsidR="00000000" w:rsidRDefault="005923AB">
      <w:pPr>
        <w:spacing w:line="138" w:lineRule="atLeast"/>
        <w:jc w:val="both"/>
      </w:pPr>
      <w:r>
        <w:t xml:space="preserve">13.1.  Згiдно вимог ст.72 Закону України "Про акцiонернi товариства" схвалити укладені значні правочини: </w:t>
      </w:r>
    </w:p>
    <w:p w:rsidR="00000000" w:rsidRDefault="005923AB">
      <w:pPr>
        <w:spacing w:line="138" w:lineRule="atLeast"/>
        <w:jc w:val="both"/>
      </w:pPr>
      <w:r>
        <w:t>1) Контракт з NORTHGATE International LLP № NG-01/17 від 17.01.2017 р. на постачання глини  у сумі 155 000 000 грн. аб</w:t>
      </w:r>
      <w:r>
        <w:t>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5923AB">
      <w:pPr>
        <w:spacing w:line="138" w:lineRule="atLeast"/>
        <w:jc w:val="both"/>
      </w:pPr>
      <w:r>
        <w:t>2) Контракт з NORTHGATE International LLP №  NG-03/16 від 26.09.2016 р., зміна до контракту  № 1 від 15.02.2017 р.  на постачання гл</w:t>
      </w:r>
      <w:r>
        <w:t>ини  у сумі 140 000 000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5923AB">
      <w:pPr>
        <w:spacing w:line="138" w:lineRule="atLeast"/>
        <w:jc w:val="both"/>
      </w:pPr>
      <w:r>
        <w:t xml:space="preserve">3) Договір з ДФ "Галь-Дженералтранс" № 14-421 від 26.08.2014 р., додаток № 3 від 15.12.2016 р.  </w:t>
      </w:r>
      <w:r>
        <w:rPr>
          <w:lang w:val="uk-UA"/>
        </w:rPr>
        <w:t>на</w:t>
      </w:r>
      <w:r>
        <w:t xml:space="preserve"> от</w:t>
      </w:r>
      <w:r>
        <w:t xml:space="preserve">римання послуг з </w:t>
      </w:r>
      <w:r>
        <w:rPr>
          <w:lang w:val="uk-UA"/>
        </w:rPr>
        <w:t>перевезення</w:t>
      </w:r>
      <w:r>
        <w:t xml:space="preserve"> залiзничним транспортом глини у сумі 55 000 000 грн. </w:t>
      </w:r>
    </w:p>
    <w:p w:rsidR="00000000" w:rsidRDefault="005923AB">
      <w:pPr>
        <w:spacing w:line="138" w:lineRule="atLeast"/>
        <w:jc w:val="both"/>
      </w:pPr>
      <w:r>
        <w:t xml:space="preserve">4) Договір генерального подряду з ПрАТ «ВО «ДОНБАСЕКСКАВАЦІЯ» № 05/2017 від 12.01.2017 р. </w:t>
      </w:r>
      <w:r>
        <w:rPr>
          <w:lang w:val="uk-UA"/>
        </w:rPr>
        <w:t xml:space="preserve">на </w:t>
      </w:r>
      <w:r>
        <w:t xml:space="preserve">виконання гірничо-розкривних робіт, </w:t>
      </w:r>
      <w:r>
        <w:rPr>
          <w:lang w:val="uk-UA"/>
        </w:rPr>
        <w:t xml:space="preserve">формування відвалів, </w:t>
      </w:r>
      <w:r>
        <w:t>видобутку глин, розробк</w:t>
      </w:r>
      <w:r>
        <w:t>у зовнішніх відвалів з транспортуванням грунтів  у сумі  38 000 000 грн.</w:t>
      </w:r>
    </w:p>
    <w:p w:rsidR="00000000" w:rsidRDefault="005923AB">
      <w:pPr>
        <w:spacing w:after="120"/>
        <w:jc w:val="both"/>
      </w:pPr>
      <w:r>
        <w:t>5) Договір з ТОВ «МетРудТранс» на ТЕО № МПТ-125 від 15.03.2016 р. </w:t>
      </w:r>
      <w:r>
        <w:rPr>
          <w:lang w:val="uk-UA"/>
        </w:rPr>
        <w:t>на</w:t>
      </w:r>
      <w:r>
        <w:t xml:space="preserve"> отримання послуг з </w:t>
      </w:r>
      <w:r>
        <w:rPr>
          <w:lang w:val="uk-UA"/>
        </w:rPr>
        <w:t>перевезення</w:t>
      </w:r>
      <w:r>
        <w:t xml:space="preserve"> залiзничним транспортом глини у сумі 37 000 000 грн. </w:t>
      </w:r>
    </w:p>
    <w:p w:rsidR="00000000" w:rsidRDefault="005923AB">
      <w:pPr>
        <w:jc w:val="both"/>
        <w:rPr>
          <w:lang w:val="uk-UA"/>
        </w:rPr>
      </w:pPr>
      <w:r>
        <w:lastRenderedPageBreak/>
        <w:t>13.2. У разі припинення робот</w:t>
      </w:r>
      <w:r>
        <w:t xml:space="preserve">и з ПрАТ «ВО «ДОНБАСЕКСКАВАЦІЯ», тобто зміни підприємства, яке надає послуги </w:t>
      </w:r>
      <w:r>
        <w:rPr>
          <w:lang w:val="uk-UA"/>
        </w:rPr>
        <w:t>на</w:t>
      </w:r>
      <w:r>
        <w:t xml:space="preserve"> виконання гірничо-розкривних робіт, </w:t>
      </w:r>
      <w:r>
        <w:rPr>
          <w:lang w:val="uk-UA"/>
        </w:rPr>
        <w:t xml:space="preserve">формування відвалів, </w:t>
      </w:r>
      <w:r>
        <w:t>видобутку глин, розробку зовнішніх відвалів з транспортуванням грунтів,  надати повноваження Генеральному директору під</w:t>
      </w:r>
      <w:r>
        <w:t xml:space="preserve">писати новий договір у сумі, узгодженій Загальними зборами </w:t>
      </w:r>
      <w:r>
        <w:rPr>
          <w:lang w:val="uk-UA"/>
        </w:rPr>
        <w:t>Товариства</w:t>
      </w:r>
      <w:r>
        <w:t xml:space="preserve"> (п.13.1), погодивши з Наглядовою радою вибір ново</w:t>
      </w:r>
      <w:r>
        <w:rPr>
          <w:lang w:val="uk-UA"/>
        </w:rPr>
        <w:t>го підприємства.</w:t>
      </w:r>
    </w:p>
    <w:p w:rsidR="00000000" w:rsidRDefault="005923AB">
      <w:pPr>
        <w:jc w:val="both"/>
        <w:rPr>
          <w:lang w:val="uk-UA"/>
        </w:rPr>
      </w:pP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</w:t>
      </w:r>
      <w:r>
        <w:rPr>
          <w:i/>
        </w:rPr>
        <w:t xml:space="preserve"> 2</w:t>
      </w:r>
      <w:r>
        <w:rPr>
          <w:i/>
          <w:lang w:val="uk-UA"/>
        </w:rPr>
        <w:t>:</w:t>
      </w:r>
    </w:p>
    <w:p w:rsidR="00000000" w:rsidRDefault="005923AB">
      <w:pPr>
        <w:spacing w:line="138" w:lineRule="atLeast"/>
        <w:jc w:val="both"/>
      </w:pPr>
      <w:r>
        <w:t>13.1.  Згiдно вимог ст.72 Закону України "Про акцiонернi товариства" схвалити укладені значні правочи</w:t>
      </w:r>
      <w:r>
        <w:t xml:space="preserve">ни: </w:t>
      </w:r>
    </w:p>
    <w:p w:rsidR="00000000" w:rsidRDefault="005923AB">
      <w:pPr>
        <w:spacing w:line="138" w:lineRule="atLeast"/>
        <w:jc w:val="both"/>
      </w:pPr>
      <w:r>
        <w:t>1) Контракт з NORTHGATE International LLP № NG-01/17 від 17.01.2017 р. на постачання глини  у сумі 155 000 000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5923AB">
      <w:pPr>
        <w:spacing w:line="138" w:lineRule="atLeast"/>
        <w:jc w:val="both"/>
      </w:pPr>
      <w:r>
        <w:t>2) Контра</w:t>
      </w:r>
      <w:r>
        <w:t>кт з NORTHGATE International LLP №  NG-03/16 від 26.09.2016 р., зміна до контракту  № 1 від 15.02.2017 р.  на постачання глини  у сумі 140 000 000 грн. або її еквівалент в іноземній валюті за офіційним курсом Національного банку України на дату вчинення ві</w:t>
      </w:r>
      <w:r>
        <w:t>дповідного правочину.</w:t>
      </w:r>
    </w:p>
    <w:p w:rsidR="00000000" w:rsidRDefault="005923AB">
      <w:pPr>
        <w:spacing w:line="138" w:lineRule="atLeast"/>
        <w:jc w:val="both"/>
      </w:pPr>
      <w:r>
        <w:t xml:space="preserve">3) Договір з ДФ "Галь-Дженералтранс" № 14-421 від 26.08.2014 р., додаток № 3 від 15.12.2016 р.  на отримання послуг з перевезення залiзничним транспортом глини у сумі 55 000 000 грн. </w:t>
      </w:r>
    </w:p>
    <w:p w:rsidR="00000000" w:rsidRDefault="005923AB">
      <w:pPr>
        <w:spacing w:line="138" w:lineRule="atLeast"/>
        <w:jc w:val="both"/>
      </w:pPr>
      <w:r>
        <w:t>4) Договір генерального подряду з ПрАТ «ВО «ДОНБАС</w:t>
      </w:r>
      <w:r>
        <w:t>ЕКСКАВАЦІЯ» або з іншим підприємством на виконання гірничо-розкривних робіт, формування відвалів, видобутку глин, розробку зовнішніх відвалів з транспортуванням грунтів  у сумі  38 000 000 грн.</w:t>
      </w:r>
    </w:p>
    <w:p w:rsidR="00000000" w:rsidRDefault="005923AB">
      <w:pPr>
        <w:spacing w:after="120"/>
        <w:jc w:val="both"/>
      </w:pPr>
      <w:r>
        <w:t>5) Договір з ТОВ «МетРудТранс» на ТЕО № МПТ-125 від 15.03.2016</w:t>
      </w:r>
      <w:r>
        <w:t xml:space="preserve"> р. на отримання послуг з перевезення залiзничним транспортом глини у сумі 37 000 000 грн. </w:t>
      </w:r>
    </w:p>
    <w:p w:rsidR="00000000" w:rsidRDefault="005923AB">
      <w:pPr>
        <w:spacing w:after="120"/>
        <w:jc w:val="both"/>
        <w:rPr>
          <w:lang w:val="uk-UA"/>
        </w:rPr>
      </w:pPr>
      <w:r>
        <w:t>13.2. У разі припинення роботи з ПрАТ «ВО «ДОНБАСЕКСКАВАЦІЯ», тобто зміни підприємства, яке надає послуги на виконання гірничо-розкривних робіт, формування відвалів</w:t>
      </w:r>
      <w:r>
        <w:t>, видобутку глин, розробку зовнішніх відвалів з транспортуванням грунтів, надати повноваження Генеральному директору підписати новий договір у сумі, узгодженій Загальними зборами Товариства (п.13.1), погодивши з Наглядовою радою вибір нового підприємства.</w:t>
      </w:r>
    </w:p>
    <w:p w:rsidR="00000000" w:rsidRDefault="005923AB">
      <w:pPr>
        <w:tabs>
          <w:tab w:val="num" w:pos="426"/>
        </w:tabs>
        <w:jc w:val="both"/>
        <w:rPr>
          <w:b/>
          <w:lang w:val="uk-UA"/>
        </w:rPr>
      </w:pPr>
    </w:p>
    <w:p w:rsidR="00000000" w:rsidRDefault="005923AB">
      <w:pPr>
        <w:tabs>
          <w:tab w:val="num" w:pos="426"/>
        </w:tabs>
        <w:jc w:val="both"/>
        <w:rPr>
          <w:b/>
          <w:color w:val="C00000"/>
          <w:lang w:val="uk-UA"/>
        </w:rPr>
      </w:pPr>
      <w:r>
        <w:rPr>
          <w:b/>
          <w:lang w:val="uk-UA"/>
        </w:rPr>
        <w:t>14. Прийняття рішення про надання згоди на вчинення правочинів, щодо вчинення яких є заінтересованість.</w:t>
      </w:r>
      <w:r>
        <w:rPr>
          <w:b/>
          <w:color w:val="C00000"/>
          <w:lang w:val="uk-UA"/>
        </w:rPr>
        <w:t xml:space="preserve">           </w:t>
      </w:r>
    </w:p>
    <w:p w:rsidR="00000000" w:rsidRDefault="005923AB">
      <w:pPr>
        <w:rPr>
          <w:i/>
          <w:lang w:val="uk-UA"/>
        </w:rPr>
      </w:pPr>
      <w:r>
        <w:rPr>
          <w:i/>
          <w:lang w:val="uk-UA"/>
        </w:rPr>
        <w:t>Проект рішення:</w:t>
      </w:r>
    </w:p>
    <w:p w:rsidR="00000000" w:rsidRDefault="005923AB">
      <w:pPr>
        <w:jc w:val="both"/>
      </w:pPr>
      <w:r>
        <w:rPr>
          <w:lang w:val="en-US"/>
        </w:rPr>
        <w:t>1</w:t>
      </w:r>
      <w:r>
        <w:t>4</w:t>
      </w:r>
      <w:r>
        <w:rPr>
          <w:lang w:val="en-US"/>
        </w:rPr>
        <w:t>.</w:t>
      </w:r>
      <w:r>
        <w:t xml:space="preserve">1. Згідно вимог статті 72 Закону України «Про акціонерні товариства» </w:t>
      </w:r>
      <w:r>
        <w:rPr>
          <w:lang w:val="en-US"/>
        </w:rPr>
        <w:t> </w:t>
      </w:r>
      <w:r>
        <w:t xml:space="preserve">схвалити </w:t>
      </w:r>
      <w:r>
        <w:t>укладений правочин, щодо вчинення якого є заінтересованість, а саме договір транспортного експедирування з ТОВ «Інтерсервіс» № 02/03-2015 від 02.03.2015 р.  в сумі 50 000 000 грн.</w:t>
      </w:r>
    </w:p>
    <w:p w:rsidR="00000000" w:rsidRDefault="005923AB">
      <w:pPr>
        <w:spacing w:after="120"/>
        <w:jc w:val="both"/>
      </w:pPr>
      <w:r>
        <w:t>14.2. Надати згоду на вчинення правочину, щодо вчинення якого є заінтересова</w:t>
      </w:r>
      <w:r>
        <w:t>ність, з ТОВ «Інтерсервіс»</w:t>
      </w:r>
      <w:r>
        <w:rPr>
          <w:color w:val="17365D"/>
        </w:rPr>
        <w:t xml:space="preserve"> на </w:t>
      </w:r>
      <w:r>
        <w:t>отримання послуг з транспортного експедирування протягом одного року з дати прийняття такого рішення у сумі до 50 000 000  грн.</w:t>
      </w:r>
    </w:p>
    <w:p w:rsidR="00000000" w:rsidRDefault="005923AB">
      <w:pPr>
        <w:jc w:val="both"/>
        <w:rPr>
          <w:lang w:val="uk-UA" w:eastAsia="uk-UA"/>
        </w:rPr>
      </w:pPr>
    </w:p>
    <w:p w:rsidR="005923AB" w:rsidRDefault="005923AB">
      <w:pPr>
        <w:suppressAutoHyphens w:val="0"/>
        <w:spacing w:after="240"/>
        <w:jc w:val="both"/>
        <w:rPr>
          <w:lang w:val="uk-UA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 w:eastAsia="ru-RU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uk-UA" w:eastAsia="ru-RU"/>
        </w:rPr>
        <w:t xml:space="preserve">                   </w:t>
      </w:r>
      <w:r>
        <w:t>Наглядова рада</w:t>
      </w:r>
      <w:r>
        <w:rPr>
          <w:lang w:val="uk-UA"/>
        </w:rPr>
        <w:t xml:space="preserve"> Товариства</w:t>
      </w:r>
    </w:p>
    <w:sectPr w:rsidR="005923AB">
      <w:footnotePr>
        <w:pos w:val="beneathText"/>
      </w:footnotePr>
      <w:pgSz w:w="12240" w:h="15840"/>
      <w:pgMar w:top="851" w:right="567" w:bottom="567" w:left="1418" w:header="0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6349D9"/>
    <w:rsid w:val="005923AB"/>
    <w:rsid w:val="0063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74ABC-11AE-4DF7-B322-8D517FF8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annotation reference" w:uiPriority="99"/>
    <w:lsdException w:name="Lis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pPr>
      <w:keepNext/>
      <w:tabs>
        <w:tab w:val="num" w:pos="432"/>
      </w:tabs>
      <w:ind w:left="432" w:hanging="432"/>
      <w:jc w:val="both"/>
      <w:outlineLvl w:val="0"/>
    </w:pPr>
    <w:rPr>
      <w:rFonts w:eastAsiaTheme="minorEastAsia"/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/>
      <w:b/>
      <w:i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eastAsiaTheme="minorEastAsia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rFonts w:eastAsiaTheme="minorEastAsia"/>
      <w:b/>
      <w:bCs/>
      <w:sz w:val="22"/>
    </w:rPr>
  </w:style>
  <w:style w:type="paragraph" w:styleId="5">
    <w:name w:val="heading 5"/>
    <w:basedOn w:val="a"/>
    <w:next w:val="a"/>
    <w:link w:val="50"/>
    <w:qFormat/>
    <w:pPr>
      <w:keepNext/>
      <w:suppressAutoHyphens w:val="0"/>
      <w:jc w:val="center"/>
      <w:outlineLvl w:val="4"/>
    </w:pPr>
    <w:rPr>
      <w:rFonts w:eastAsiaTheme="minorEastAsia"/>
      <w:b/>
      <w:bCs/>
      <w:szCs w:val="20"/>
      <w:lang w:eastAsia="en-US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rFonts w:eastAsiaTheme="minorEastAsia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ar-SA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ar-SA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 w:hint="default"/>
    </w:rPr>
  </w:style>
  <w:style w:type="paragraph" w:customStyle="1" w:styleId="msonormal0">
    <w:name w:val="msonormal"/>
    <w:basedOn w:val="a"/>
    <w:uiPriority w:val="99"/>
    <w:pPr>
      <w:suppressAutoHyphens w:val="0"/>
      <w:spacing w:before="100" w:beforeAutospacing="1" w:after="100" w:afterAutospacing="1"/>
    </w:pPr>
    <w:rPr>
      <w:lang w:val="uk-UA" w:eastAsia="en-US"/>
    </w:rPr>
  </w:style>
  <w:style w:type="paragraph" w:styleId="a5">
    <w:name w:val="Normal (Web)"/>
    <w:basedOn w:val="a"/>
    <w:uiPriority w:val="99"/>
    <w:pPr>
      <w:suppressAutoHyphens w:val="0"/>
      <w:spacing w:before="100" w:beforeAutospacing="1" w:after="100" w:afterAutospacing="1"/>
    </w:pPr>
    <w:rPr>
      <w:lang w:val="uk-UA" w:eastAsia="en-US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basedOn w:val="a0"/>
    <w:link w:val="a6"/>
    <w:rPr>
      <w:lang w:val="ru-RU" w:eastAsia="ar-SA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Pr>
      <w:lang w:val="ru-RU" w:eastAsia="ar-SA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Cs w:val="20"/>
    </w:rPr>
  </w:style>
  <w:style w:type="character" w:customStyle="1" w:styleId="ab">
    <w:name w:val="Верхний колонтитул Знак"/>
    <w:basedOn w:val="a0"/>
    <w:link w:val="aa"/>
    <w:rPr>
      <w:sz w:val="24"/>
      <w:szCs w:val="24"/>
      <w:lang w:val="ru-RU" w:eastAsia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Pr>
      <w:sz w:val="24"/>
      <w:lang w:eastAsia="ar-SA"/>
    </w:rPr>
  </w:style>
  <w:style w:type="paragraph" w:styleId="11">
    <w:name w:val="index 1"/>
    <w:basedOn w:val="a"/>
    <w:next w:val="a"/>
    <w:autoRedefine/>
    <w:pPr>
      <w:ind w:left="240" w:hanging="240"/>
    </w:pPr>
  </w:style>
  <w:style w:type="paragraph" w:styleId="ae">
    <w:name w:val="index heading"/>
    <w:basedOn w:val="a"/>
    <w:uiPriority w:val="99"/>
    <w:semiHidden/>
    <w:pPr>
      <w:suppressLineNumbers/>
    </w:pPr>
    <w:rPr>
      <w:rFonts w:cs="Tahoma"/>
    </w:rPr>
  </w:style>
  <w:style w:type="paragraph" w:styleId="af">
    <w:name w:val="Body Text"/>
    <w:basedOn w:val="a"/>
    <w:link w:val="af0"/>
    <w:uiPriority w:val="99"/>
    <w:pPr>
      <w:autoSpaceDE w:val="0"/>
      <w:spacing w:after="120"/>
      <w:jc w:val="both"/>
    </w:pPr>
    <w:rPr>
      <w:szCs w:val="20"/>
    </w:rPr>
  </w:style>
  <w:style w:type="character" w:customStyle="1" w:styleId="af0">
    <w:name w:val="Основной текст Знак"/>
    <w:basedOn w:val="a0"/>
    <w:link w:val="af"/>
    <w:rPr>
      <w:sz w:val="24"/>
      <w:szCs w:val="24"/>
      <w:lang w:val="ru-RU" w:eastAsia="ar-SA"/>
    </w:rPr>
  </w:style>
  <w:style w:type="paragraph" w:styleId="af1">
    <w:name w:val="List"/>
    <w:basedOn w:val="af"/>
    <w:uiPriority w:val="99"/>
    <w:rPr>
      <w:rFonts w:cs="Tahoma"/>
    </w:rPr>
  </w:style>
  <w:style w:type="paragraph" w:styleId="af2">
    <w:name w:val="Title"/>
    <w:basedOn w:val="a"/>
    <w:next w:val="af"/>
    <w:uiPriority w:val="99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f3">
    <w:name w:val="Заголовок Знак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ar-SA"/>
    </w:rPr>
  </w:style>
  <w:style w:type="paragraph" w:styleId="af4">
    <w:name w:val="Body Text Indent"/>
    <w:basedOn w:val="a"/>
    <w:link w:val="af5"/>
    <w:uiPriority w:val="99"/>
    <w:pPr>
      <w:ind w:firstLine="720"/>
      <w:jc w:val="both"/>
    </w:pPr>
  </w:style>
  <w:style w:type="character" w:customStyle="1" w:styleId="af5">
    <w:name w:val="Основной текст с отступом Знак"/>
    <w:basedOn w:val="a0"/>
    <w:link w:val="af4"/>
    <w:rPr>
      <w:sz w:val="24"/>
      <w:szCs w:val="24"/>
      <w:lang w:val="ru-RU" w:eastAsia="ar-SA"/>
    </w:rPr>
  </w:style>
  <w:style w:type="paragraph" w:styleId="af6">
    <w:name w:val="Subtitle"/>
    <w:basedOn w:val="a"/>
    <w:next w:val="af"/>
    <w:link w:val="af7"/>
    <w:uiPriority w:val="99"/>
    <w:qFormat/>
    <w:pPr>
      <w:jc w:val="center"/>
    </w:pPr>
    <w:rPr>
      <w:b/>
      <w:szCs w:val="20"/>
    </w:rPr>
  </w:style>
  <w:style w:type="character" w:customStyle="1" w:styleId="af7">
    <w:name w:val="Подзаголовок Знак"/>
    <w:basedOn w:val="a0"/>
    <w:link w:val="af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ar-SA"/>
    </w:rPr>
  </w:style>
  <w:style w:type="paragraph" w:styleId="21">
    <w:name w:val="Body Text 2"/>
    <w:basedOn w:val="a"/>
    <w:link w:val="22"/>
    <w:uiPriority w:val="99"/>
    <w:pPr>
      <w:spacing w:after="120"/>
      <w:jc w:val="both"/>
    </w:pPr>
    <w:rPr>
      <w:i/>
      <w:iCs/>
    </w:rPr>
  </w:style>
  <w:style w:type="character" w:customStyle="1" w:styleId="22">
    <w:name w:val="Основной текст 2 Знак"/>
    <w:basedOn w:val="a0"/>
    <w:link w:val="21"/>
    <w:rPr>
      <w:sz w:val="24"/>
      <w:szCs w:val="24"/>
      <w:lang w:val="ru-RU" w:eastAsia="ar-SA"/>
    </w:rPr>
  </w:style>
  <w:style w:type="paragraph" w:styleId="31">
    <w:name w:val="Body Text 3"/>
    <w:basedOn w:val="a"/>
    <w:link w:val="32"/>
    <w:uiPriority w:val="99"/>
    <w:pPr>
      <w:spacing w:after="120"/>
      <w:jc w:val="both"/>
    </w:pPr>
    <w:rPr>
      <w:i/>
      <w:iCs/>
      <w:color w:val="FF0000"/>
    </w:rPr>
  </w:style>
  <w:style w:type="character" w:customStyle="1" w:styleId="32">
    <w:name w:val="Основной текст 3 Знак"/>
    <w:basedOn w:val="a0"/>
    <w:link w:val="31"/>
    <w:rPr>
      <w:sz w:val="16"/>
      <w:szCs w:val="16"/>
      <w:lang w:val="ru-RU" w:eastAsia="ar-SA"/>
    </w:rPr>
  </w:style>
  <w:style w:type="paragraph" w:styleId="23">
    <w:name w:val="Body Text Indent 2"/>
    <w:basedOn w:val="a"/>
    <w:link w:val="24"/>
    <w:uiPriority w:val="99"/>
    <w:pPr>
      <w:suppressAutoHyphens w:val="0"/>
      <w:ind w:firstLine="708"/>
      <w:jc w:val="both"/>
    </w:pPr>
    <w:rPr>
      <w:sz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rPr>
      <w:sz w:val="24"/>
      <w:szCs w:val="24"/>
      <w:lang w:val="ru-RU" w:eastAsia="ar-SA"/>
    </w:rPr>
  </w:style>
  <w:style w:type="paragraph" w:styleId="33">
    <w:name w:val="Body Text Indent 3"/>
    <w:basedOn w:val="a"/>
    <w:link w:val="34"/>
    <w:uiPriority w:val="99"/>
    <w:pPr>
      <w:suppressAutoHyphens w:val="0"/>
      <w:ind w:left="360"/>
      <w:jc w:val="both"/>
    </w:pPr>
    <w:rPr>
      <w:sz w:val="22"/>
      <w:lang w:eastAsia="en-US"/>
    </w:rPr>
  </w:style>
  <w:style w:type="character" w:customStyle="1" w:styleId="34">
    <w:name w:val="Основной текст с отступом 3 Знак"/>
    <w:basedOn w:val="a0"/>
    <w:link w:val="33"/>
    <w:rPr>
      <w:sz w:val="16"/>
      <w:szCs w:val="16"/>
      <w:lang w:val="ru-RU" w:eastAsia="ar-SA"/>
    </w:rPr>
  </w:style>
  <w:style w:type="paragraph" w:styleId="af8">
    <w:name w:val="Plain Text"/>
    <w:basedOn w:val="a"/>
    <w:link w:val="af9"/>
    <w:uiPriority w:val="99"/>
    <w:pPr>
      <w:suppressAutoHyphens w:val="0"/>
    </w:pPr>
    <w:rPr>
      <w:rFonts w:ascii="Courier New" w:hAnsi="Courier New"/>
      <w:sz w:val="20"/>
      <w:szCs w:val="20"/>
      <w:lang w:eastAsia="en-US"/>
    </w:rPr>
  </w:style>
  <w:style w:type="character" w:customStyle="1" w:styleId="af9">
    <w:name w:val="Текст Знак"/>
    <w:basedOn w:val="a0"/>
    <w:link w:val="af8"/>
    <w:rPr>
      <w:rFonts w:ascii="Consolas" w:hAnsi="Consolas"/>
      <w:sz w:val="21"/>
      <w:szCs w:val="21"/>
      <w:lang w:val="ru-RU" w:eastAsia="ar-SA"/>
    </w:rPr>
  </w:style>
  <w:style w:type="paragraph" w:styleId="afa">
    <w:name w:val="annotation subject"/>
    <w:basedOn w:val="a8"/>
    <w:next w:val="a8"/>
    <w:link w:val="afb"/>
    <w:uiPriority w:val="99"/>
    <w:semiHidden/>
    <w:rPr>
      <w:b/>
      <w:bCs/>
    </w:rPr>
  </w:style>
  <w:style w:type="character" w:customStyle="1" w:styleId="afb">
    <w:name w:val="Тема примечания Знак"/>
    <w:basedOn w:val="a9"/>
    <w:link w:val="afa"/>
    <w:rPr>
      <w:b/>
      <w:bCs/>
      <w:lang w:val="ru-RU" w:eastAsia="ar-SA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Pr>
      <w:rFonts w:ascii="Segoe UI" w:hAnsi="Segoe UI" w:cs="Segoe UI"/>
      <w:sz w:val="18"/>
      <w:szCs w:val="18"/>
      <w:lang w:val="ru-RU" w:eastAsia="ar-SA"/>
    </w:rPr>
  </w:style>
  <w:style w:type="paragraph" w:customStyle="1" w:styleId="afe">
    <w:name w:val="Содержимое таблицы"/>
    <w:basedOn w:val="a"/>
    <w:uiPriority w:val="99"/>
    <w:pPr>
      <w:suppressLineNumbers/>
    </w:pPr>
  </w:style>
  <w:style w:type="paragraph" w:customStyle="1" w:styleId="aff">
    <w:name w:val="Заголовок таблицы"/>
    <w:basedOn w:val="afe"/>
    <w:uiPriority w:val="99"/>
    <w:pPr>
      <w:jc w:val="center"/>
    </w:pPr>
    <w:rPr>
      <w:b/>
      <w:bCs/>
    </w:rPr>
  </w:style>
  <w:style w:type="paragraph" w:customStyle="1" w:styleId="aff0">
    <w:name w:val="Содержимое врезки"/>
    <w:basedOn w:val="af"/>
    <w:uiPriority w:val="99"/>
  </w:style>
  <w:style w:type="paragraph" w:customStyle="1" w:styleId="aff1">
    <w:name w:val="Знак Знак Знак"/>
    <w:basedOn w:val="a"/>
    <w:uiPriority w:val="99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/>
    </w:rPr>
  </w:style>
  <w:style w:type="character" w:styleId="aff2">
    <w:name w:val="footnote reference"/>
    <w:basedOn w:val="a0"/>
    <w:semiHidden/>
    <w:rPr>
      <w:vertAlign w:val="superscript"/>
    </w:rPr>
  </w:style>
  <w:style w:type="character" w:styleId="aff3">
    <w:name w:val="annotation reference"/>
    <w:basedOn w:val="a0"/>
    <w:uiPriority w:val="99"/>
    <w:semiHidden/>
    <w:rPr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2">
    <w:name w:val="Основной шрифт абзаца1"/>
    <w:semiHidden/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dtkt.ua/doc/1214.148.0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Microsoft</Company>
  <LinksUpToDate>false</LinksUpToDate>
  <CharactersWithSpaces>15688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subject/>
  <dc:creator>Alla</dc:creator>
  <cp:keywords/>
  <dc:description/>
  <cp:lastModifiedBy>Privateer~</cp:lastModifiedBy>
  <cp:revision>2</cp:revision>
  <cp:lastPrinted>2017-03-25T17:44:00Z</cp:lastPrinted>
  <dcterms:created xsi:type="dcterms:W3CDTF">2021-06-15T16:43:00Z</dcterms:created>
  <dcterms:modified xsi:type="dcterms:W3CDTF">2021-06-15T16:43:00Z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