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61677">
      <w:pPr>
        <w:pStyle w:val="3"/>
        <w:rPr>
          <w:rFonts w:eastAsia="Times New Roman"/>
          <w:color w:val="000000"/>
          <w:lang w:val="ru-RU"/>
        </w:rPr>
      </w:pPr>
      <w:bookmarkStart w:id="0" w:name="_GoBack"/>
      <w:bookmarkEnd w:id="0"/>
      <w:r>
        <w:rPr>
          <w:rFonts w:eastAsia="Times New Roman"/>
          <w:color w:val="000000"/>
          <w:lang w:val="ru-RU"/>
        </w:rPr>
        <w:t>Повідомлення про виникнення особливої інформації емітента</w:t>
      </w:r>
    </w:p>
    <w:p w:rsidR="00000000" w:rsidRDefault="00461677">
      <w:pPr>
        <w:pStyle w:val="3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I. Загальні відомості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49"/>
        <w:gridCol w:w="5056"/>
      </w:tblGrid>
      <w:tr w:rsidR="00000000"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1. Повне найменування емітента</w:t>
            </w:r>
          </w:p>
        </w:tc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ПРИВАТНЕ АКЦIОНЕРНЕ ТОВАРИСТВО "КЕРАМПРОМ"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2. Код за ЄДРПОУ</w:t>
            </w:r>
          </w:p>
        </w:tc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24655289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3. Місцезнаходження</w:t>
            </w:r>
          </w:p>
        </w:tc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 xml:space="preserve">85171, Донецька обл., </w:t>
            </w:r>
            <w:r>
              <w:rPr>
                <w:color w:val="000000"/>
              </w:rPr>
              <w:t>Костянтинiвський район, с. Артемiвка, вул. Дружби, 2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4. Міжміський код, телефон та факс</w:t>
            </w:r>
          </w:p>
        </w:tc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 xml:space="preserve">(062) 340-20-81 (062) 340-20-81 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5. Електронна поштова адреса</w:t>
            </w:r>
          </w:p>
        </w:tc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office.ceramprom@ukr.net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6. Адреса сторінки в мережі Інтернет, яка додатково використовується емітентом</w:t>
            </w:r>
            <w:r>
              <w:rPr>
                <w:color w:val="000000"/>
              </w:rPr>
              <w:t xml:space="preserve"> для розкриття інформації</w:t>
            </w:r>
          </w:p>
        </w:tc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keramprom.at.ua</w:t>
            </w: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7. Вид особливої інформації</w:t>
            </w:r>
          </w:p>
        </w:tc>
        <w:tc>
          <w:tcPr>
            <w:tcW w:w="0" w:type="auto"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Відомості про зміну власників акцій, яким належить 10 і більше відсотків голосуючих акцій</w:t>
            </w:r>
          </w:p>
        </w:tc>
      </w:tr>
      <w:tr w:rsidR="0000000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61677">
            <w:pPr>
              <w:rPr>
                <w:sz w:val="20"/>
                <w:szCs w:val="20"/>
              </w:rPr>
            </w:pPr>
          </w:p>
        </w:tc>
      </w:tr>
    </w:tbl>
    <w:p w:rsidR="00000000" w:rsidRDefault="00461677">
      <w:pPr>
        <w:pStyle w:val="3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II. Текст повідомлення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205"/>
      </w:tblGrid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ind w:firstLine="200"/>
              <w:rPr>
                <w:color w:val="000000"/>
              </w:rPr>
            </w:pPr>
            <w:r>
              <w:rPr>
                <w:color w:val="000000"/>
              </w:rPr>
              <w:t xml:space="preserve">ПрАТ </w:t>
            </w:r>
            <w:r>
              <w:rPr>
                <w:color w:val="000000"/>
              </w:rPr>
              <w:t xml:space="preserve">«КЕРАМПРОМ» на пiдставi перелiку акцiонерiв, яким надсилатиметься письмове повiдомлення про проведення Загальних зборiв станом на 23.03.2015 року, отриманого вiд ПАТ "НАЦIОНАЛЬНИЙ ДЕПОЗИТАРIЙ УКРАЇНИ" 27.03.2015 року, повiдомляє про змiну власникiв акцiй, </w:t>
            </w:r>
            <w:r>
              <w:rPr>
                <w:color w:val="000000"/>
              </w:rPr>
              <w:t xml:space="preserve">яким належать 10 i бiльше вiдсоткiв голосуючих акцiй: </w:t>
            </w:r>
            <w:r>
              <w:rPr>
                <w:color w:val="000000"/>
              </w:rPr>
              <w:br/>
              <w:t>- пакет акцiй, що належить Фiзичнiй особi, став менше 10% голосуючих акцiй та зменшився на 32506 шт. простих iменних акцiй (з 32509 шт. акцiй до 3 шт. акцiй), та склав 3 шт. акцiй. Розмiр частки акцiон</w:t>
            </w:r>
            <w:r>
              <w:rPr>
                <w:color w:val="000000"/>
              </w:rPr>
              <w:t>ера до змiни пакета акцiй (у вiдсотках до статутного капiталу) - 10,3523%. Розмiр частки акцiонера пiсля змiни пакета акцiй (у вiдсотках до статутного капiталу) - 0,0010%.</w:t>
            </w:r>
            <w:r>
              <w:rPr>
                <w:color w:val="000000"/>
              </w:rPr>
              <w:br/>
              <w:t>Дата змiн достовiрно невiдома, тому за дату змiн прийнято дату на яку складений пере</w:t>
            </w:r>
            <w:r>
              <w:rPr>
                <w:color w:val="000000"/>
              </w:rPr>
              <w:t>лiк акцiонерiв.</w:t>
            </w:r>
          </w:p>
        </w:tc>
      </w:tr>
    </w:tbl>
    <w:p w:rsidR="00000000" w:rsidRDefault="00461677">
      <w:pPr>
        <w:pStyle w:val="3"/>
        <w:rPr>
          <w:rFonts w:eastAsia="Times New Roman"/>
          <w:color w:val="000000"/>
          <w:lang w:val="ru-RU"/>
        </w:rPr>
      </w:pPr>
      <w:r>
        <w:rPr>
          <w:rFonts w:eastAsia="Times New Roman"/>
          <w:color w:val="000000"/>
          <w:lang w:val="ru-RU"/>
        </w:rPr>
        <w:t>III. Підпис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169"/>
        <w:gridCol w:w="180"/>
        <w:gridCol w:w="821"/>
        <w:gridCol w:w="180"/>
        <w:gridCol w:w="4855"/>
      </w:tblGrid>
      <w:tr w:rsidR="00000000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 xml:space="preserve"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 </w:t>
            </w:r>
          </w:p>
        </w:tc>
      </w:tr>
      <w:tr w:rsidR="00000000">
        <w:tc>
          <w:tcPr>
            <w:tcW w:w="300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2. Найменування посади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7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Бевзенко Борис Федорович</w:t>
            </w:r>
          </w:p>
        </w:tc>
      </w:tr>
      <w:tr w:rsidR="00000000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Генеральний директор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(підпис)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(ініціали та прізвище керівника)</w:t>
            </w:r>
          </w:p>
        </w:tc>
      </w:tr>
      <w:tr w:rsidR="00000000"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Mar>
              <w:top w:w="30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М.П.</w:t>
            </w:r>
          </w:p>
        </w:tc>
        <w:tc>
          <w:tcPr>
            <w:tcW w:w="0" w:type="auto"/>
            <w:vMerge w:val="restar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29.03.2015</w:t>
            </w:r>
          </w:p>
        </w:tc>
      </w:tr>
      <w:tr w:rsidR="00000000">
        <w:tc>
          <w:tcPr>
            <w:tcW w:w="0" w:type="auto"/>
            <w:vMerge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46167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00000" w:rsidRDefault="00461677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461677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(дата)</w:t>
            </w:r>
          </w:p>
        </w:tc>
      </w:tr>
    </w:tbl>
    <w:p w:rsidR="00461677" w:rsidRDefault="00461677">
      <w:pPr>
        <w:rPr>
          <w:lang w:val="ru-RU"/>
        </w:rPr>
      </w:pPr>
    </w:p>
    <w:sectPr w:rsidR="00461677">
      <w:pgSz w:w="11907" w:h="16840"/>
      <w:pgMar w:top="1134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noPunctuationKerning/>
  <w:characterSpacingControl w:val="doNotCompress"/>
  <w:compat>
    <w:useNormalStyleForList/>
    <w:doNotUseIndentAsNumberingTabStop/>
    <w:useAltKinsokuLineBreakRules/>
    <w:doNotSuppressIndentation/>
    <w:doNotAutofitConstrainedTables/>
    <w:autofitToFirstFixedWidthCell/>
    <w:displayHangulFixedWidth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7592E"/>
    <w:rsid w:val="00461677"/>
    <w:rsid w:val="0097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CA60C-3796-46C0-B5F7-E42B1C9D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00"/>
      <w:jc w:val="center"/>
      <w:outlineLvl w:val="2"/>
    </w:pPr>
    <w:rPr>
      <w:rFonts w:eastAsiaTheme="minorEastAsia"/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25"/>
      <w:jc w:val="center"/>
      <w:outlineLvl w:val="3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USERRR</dc:creator>
  <cp:keywords/>
  <dc:description/>
  <cp:lastModifiedBy>Privateer~</cp:lastModifiedBy>
  <cp:revision>2</cp:revision>
  <dcterms:created xsi:type="dcterms:W3CDTF">2021-06-15T14:12:00Z</dcterms:created>
  <dcterms:modified xsi:type="dcterms:W3CDTF">2021-06-15T14:12:00Z</dcterms:modified>
</cp:coreProperties>
</file>